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CB3" w:rsidRPr="00E267AB" w:rsidRDefault="00E77CB3" w:rsidP="00E267AB">
      <w:pPr>
        <w:jc w:val="center"/>
        <w:rPr>
          <w:lang w:val="fr-FR"/>
        </w:rPr>
      </w:pPr>
      <w:bookmarkStart w:id="0" w:name="_GoBack"/>
      <w:bookmarkEnd w:id="0"/>
    </w:p>
    <w:p w:rsidR="0070413E" w:rsidRPr="00E267AB" w:rsidRDefault="0070413E" w:rsidP="00E267AB">
      <w:pPr>
        <w:jc w:val="center"/>
        <w:rPr>
          <w:lang w:val="fr-FR"/>
        </w:rPr>
      </w:pPr>
    </w:p>
    <w:p w:rsidR="0070413E" w:rsidRPr="00E267AB" w:rsidRDefault="0070413E" w:rsidP="00E267AB">
      <w:pPr>
        <w:jc w:val="center"/>
        <w:rPr>
          <w:lang w:val="fr-FR"/>
        </w:rPr>
      </w:pPr>
    </w:p>
    <w:p w:rsidR="00E77CB3" w:rsidRPr="00E267AB" w:rsidRDefault="00F77BDB" w:rsidP="00E267AB">
      <w:pPr>
        <w:jc w:val="center"/>
        <w:rPr>
          <w:lang w:val="fr-FR"/>
        </w:rPr>
      </w:pPr>
      <w:r w:rsidRPr="00E267AB">
        <w:rPr>
          <w:lang w:val="fr-FR"/>
        </w:rPr>
        <w:t>PREMIÈRE SECTION</w:t>
      </w:r>
    </w:p>
    <w:p w:rsidR="00E77CB3" w:rsidRPr="00E267AB" w:rsidRDefault="00E77CB3" w:rsidP="00E267AB">
      <w:pPr>
        <w:jc w:val="center"/>
        <w:rPr>
          <w:lang w:val="fr-FR"/>
        </w:rPr>
      </w:pPr>
    </w:p>
    <w:p w:rsidR="0070413E" w:rsidRPr="00E267AB" w:rsidRDefault="0070413E" w:rsidP="00E267AB">
      <w:pPr>
        <w:jc w:val="center"/>
        <w:rPr>
          <w:lang w:val="uk-UA"/>
        </w:rPr>
      </w:pPr>
    </w:p>
    <w:p w:rsidR="00864127" w:rsidRPr="00E267AB" w:rsidRDefault="00864127" w:rsidP="00E267AB">
      <w:pPr>
        <w:jc w:val="center"/>
        <w:rPr>
          <w:lang w:val="uk-UA"/>
        </w:rPr>
      </w:pPr>
    </w:p>
    <w:p w:rsidR="0070413E" w:rsidRPr="00E267AB" w:rsidRDefault="0070413E" w:rsidP="00E267AB">
      <w:pPr>
        <w:jc w:val="center"/>
        <w:rPr>
          <w:lang w:val="fr-FR"/>
        </w:rPr>
      </w:pPr>
    </w:p>
    <w:p w:rsidR="0070413E" w:rsidRPr="00E267AB" w:rsidRDefault="0070413E" w:rsidP="00E267AB">
      <w:pPr>
        <w:jc w:val="center"/>
        <w:rPr>
          <w:lang w:val="fr-FR"/>
        </w:rPr>
      </w:pPr>
    </w:p>
    <w:p w:rsidR="0070413E" w:rsidRPr="00E267AB" w:rsidRDefault="0070413E" w:rsidP="00E267AB">
      <w:pPr>
        <w:jc w:val="center"/>
        <w:rPr>
          <w:lang w:val="fr-FR"/>
        </w:rPr>
      </w:pPr>
    </w:p>
    <w:p w:rsidR="0070413E" w:rsidRPr="00E267AB" w:rsidRDefault="0070413E" w:rsidP="00E267AB">
      <w:pPr>
        <w:jc w:val="center"/>
        <w:rPr>
          <w:lang w:val="fr-FR"/>
        </w:rPr>
      </w:pPr>
    </w:p>
    <w:p w:rsidR="00E77CB3" w:rsidRPr="00E267AB" w:rsidRDefault="00E77CB3" w:rsidP="00E267AB">
      <w:pPr>
        <w:jc w:val="center"/>
        <w:rPr>
          <w:b/>
          <w:lang w:val="fr-FR"/>
        </w:rPr>
      </w:pPr>
      <w:bookmarkStart w:id="1" w:name="To"/>
      <w:r w:rsidRPr="00E267AB">
        <w:rPr>
          <w:b/>
          <w:lang w:val="fr-FR"/>
        </w:rPr>
        <w:t xml:space="preserve">AFFAIRE </w:t>
      </w:r>
      <w:bookmarkEnd w:id="1"/>
      <w:r w:rsidR="00F77BDB" w:rsidRPr="00E267AB">
        <w:rPr>
          <w:b/>
          <w:lang w:val="fr-FR"/>
        </w:rPr>
        <w:t>STRUMIA c. ITALIE</w:t>
      </w:r>
    </w:p>
    <w:p w:rsidR="00E77CB3" w:rsidRPr="00E267AB" w:rsidRDefault="00E77CB3" w:rsidP="00E267AB">
      <w:pPr>
        <w:jc w:val="center"/>
        <w:rPr>
          <w:lang w:val="fr-FR"/>
        </w:rPr>
      </w:pPr>
    </w:p>
    <w:p w:rsidR="00E77CB3" w:rsidRPr="00E267AB" w:rsidRDefault="00E77CB3" w:rsidP="00E267AB">
      <w:pPr>
        <w:jc w:val="center"/>
        <w:rPr>
          <w:i/>
          <w:lang w:val="fr-FR"/>
        </w:rPr>
      </w:pPr>
      <w:r w:rsidRPr="00E267AB">
        <w:rPr>
          <w:i/>
          <w:lang w:val="fr-FR"/>
        </w:rPr>
        <w:t>(</w:t>
      </w:r>
      <w:r w:rsidR="00F77BDB" w:rsidRPr="00E267AB">
        <w:rPr>
          <w:i/>
          <w:lang w:val="fr-FR"/>
        </w:rPr>
        <w:t>Requête n</w:t>
      </w:r>
      <w:r w:rsidR="00F77BDB" w:rsidRPr="00E267AB">
        <w:rPr>
          <w:i/>
          <w:vertAlign w:val="superscript"/>
          <w:lang w:val="fr-FR"/>
        </w:rPr>
        <w:t>o</w:t>
      </w:r>
      <w:r w:rsidR="00F77BDB" w:rsidRPr="00E267AB">
        <w:rPr>
          <w:i/>
          <w:lang w:val="fr-FR"/>
        </w:rPr>
        <w:t xml:space="preserve"> 53377/13</w:t>
      </w:r>
      <w:r w:rsidRPr="00E267AB">
        <w:rPr>
          <w:i/>
          <w:lang w:val="fr-FR"/>
        </w:rPr>
        <w:t>)</w:t>
      </w:r>
    </w:p>
    <w:p w:rsidR="00E77CB3" w:rsidRPr="00E267AB" w:rsidRDefault="00E77CB3" w:rsidP="00E267AB">
      <w:pPr>
        <w:jc w:val="center"/>
        <w:rPr>
          <w:lang w:val="fr-FR"/>
        </w:rPr>
      </w:pPr>
    </w:p>
    <w:p w:rsidR="00E77CB3" w:rsidRPr="00E267AB" w:rsidRDefault="00E77CB3" w:rsidP="00E267AB">
      <w:pPr>
        <w:jc w:val="center"/>
        <w:rPr>
          <w:lang w:val="fr-FR"/>
        </w:rPr>
      </w:pPr>
    </w:p>
    <w:p w:rsidR="00E77CB3" w:rsidRPr="00E267AB" w:rsidRDefault="00E77CB3" w:rsidP="00E267AB">
      <w:pPr>
        <w:jc w:val="center"/>
        <w:rPr>
          <w:szCs w:val="24"/>
          <w:lang w:val="uk-UA"/>
        </w:rPr>
      </w:pPr>
    </w:p>
    <w:p w:rsidR="00864127" w:rsidRPr="00E267AB" w:rsidRDefault="00864127" w:rsidP="00E267AB">
      <w:pPr>
        <w:jc w:val="center"/>
        <w:rPr>
          <w:szCs w:val="24"/>
          <w:lang w:val="uk-UA"/>
        </w:rPr>
      </w:pPr>
    </w:p>
    <w:p w:rsidR="00E77CB3" w:rsidRPr="00E267AB" w:rsidRDefault="00E77CB3" w:rsidP="00E267AB">
      <w:pPr>
        <w:jc w:val="center"/>
        <w:rPr>
          <w:szCs w:val="24"/>
          <w:lang w:val="fr-FR"/>
        </w:rPr>
      </w:pPr>
    </w:p>
    <w:p w:rsidR="00BB492E" w:rsidRPr="00E267AB" w:rsidRDefault="00BB492E" w:rsidP="00E267AB">
      <w:pPr>
        <w:jc w:val="center"/>
        <w:rPr>
          <w:szCs w:val="24"/>
          <w:lang w:val="fr-FR"/>
        </w:rPr>
      </w:pPr>
    </w:p>
    <w:p w:rsidR="00E77CB3" w:rsidRPr="00E267AB" w:rsidRDefault="00E77CB3" w:rsidP="00E267AB">
      <w:pPr>
        <w:jc w:val="center"/>
        <w:rPr>
          <w:szCs w:val="24"/>
          <w:lang w:val="fr-FR"/>
        </w:rPr>
      </w:pPr>
    </w:p>
    <w:p w:rsidR="00E77CB3" w:rsidRPr="00E267AB" w:rsidRDefault="00E77CB3" w:rsidP="00E267AB">
      <w:pPr>
        <w:jc w:val="center"/>
        <w:rPr>
          <w:szCs w:val="24"/>
          <w:lang w:val="fr-FR"/>
        </w:rPr>
      </w:pPr>
    </w:p>
    <w:p w:rsidR="0070413E" w:rsidRPr="00E267AB" w:rsidRDefault="0070413E" w:rsidP="00E267AB">
      <w:pPr>
        <w:jc w:val="center"/>
        <w:rPr>
          <w:lang w:val="fr-FR"/>
        </w:rPr>
      </w:pPr>
      <w:r w:rsidRPr="00E267AB">
        <w:rPr>
          <w:lang w:val="fr-FR"/>
        </w:rPr>
        <w:t>ARRÊT</w:t>
      </w:r>
    </w:p>
    <w:p w:rsidR="0070413E" w:rsidRPr="00E267AB" w:rsidRDefault="0070413E" w:rsidP="00E267AB">
      <w:pPr>
        <w:jc w:val="center"/>
        <w:rPr>
          <w:lang w:val="fr-FR"/>
        </w:rPr>
      </w:pPr>
    </w:p>
    <w:p w:rsidR="0070413E" w:rsidRPr="00E267AB" w:rsidRDefault="0070413E" w:rsidP="00E267AB">
      <w:pPr>
        <w:jc w:val="center"/>
        <w:rPr>
          <w:lang w:val="fr-FR"/>
        </w:rPr>
      </w:pPr>
    </w:p>
    <w:p w:rsidR="0070413E" w:rsidRPr="00E267AB" w:rsidRDefault="0070413E" w:rsidP="00E267AB">
      <w:pPr>
        <w:jc w:val="center"/>
        <w:rPr>
          <w:lang w:val="fr-FR"/>
        </w:rPr>
      </w:pPr>
      <w:r w:rsidRPr="00E267AB">
        <w:rPr>
          <w:lang w:val="fr-FR"/>
        </w:rPr>
        <w:t>STRASBOURG</w:t>
      </w:r>
    </w:p>
    <w:p w:rsidR="0070413E" w:rsidRPr="00E267AB" w:rsidRDefault="0070413E" w:rsidP="00E267AB">
      <w:pPr>
        <w:jc w:val="center"/>
        <w:rPr>
          <w:lang w:val="fr-FR"/>
        </w:rPr>
      </w:pPr>
    </w:p>
    <w:p w:rsidR="0070413E" w:rsidRPr="00E267AB" w:rsidRDefault="0070413E" w:rsidP="00E267AB">
      <w:pPr>
        <w:jc w:val="center"/>
        <w:rPr>
          <w:lang w:val="fr-FR"/>
        </w:rPr>
      </w:pPr>
      <w:r w:rsidRPr="00E267AB">
        <w:rPr>
          <w:lang w:val="fr-FR"/>
        </w:rPr>
        <w:t>23 juin 2016</w:t>
      </w:r>
    </w:p>
    <w:p w:rsidR="0070413E" w:rsidRPr="00E267AB" w:rsidRDefault="0070413E" w:rsidP="00E267AB">
      <w:pPr>
        <w:jc w:val="center"/>
        <w:rPr>
          <w:lang w:val="fr-FR"/>
        </w:rPr>
      </w:pPr>
    </w:p>
    <w:p w:rsidR="0070413E" w:rsidRPr="00E267AB" w:rsidRDefault="0070413E" w:rsidP="00E267AB">
      <w:pPr>
        <w:jc w:val="center"/>
        <w:rPr>
          <w:lang w:val="fr-FR"/>
        </w:rPr>
      </w:pPr>
    </w:p>
    <w:p w:rsidR="003C365E" w:rsidRPr="00E267AB" w:rsidRDefault="003C365E" w:rsidP="00E267AB">
      <w:pPr>
        <w:jc w:val="center"/>
        <w:rPr>
          <w:lang w:val="uk-UA"/>
        </w:rPr>
      </w:pPr>
    </w:p>
    <w:p w:rsidR="00864127" w:rsidRPr="00E267AB" w:rsidRDefault="00864127" w:rsidP="00E267AB">
      <w:pPr>
        <w:jc w:val="center"/>
        <w:rPr>
          <w:lang w:val="uk-UA"/>
        </w:rPr>
      </w:pPr>
    </w:p>
    <w:p w:rsidR="003C365E" w:rsidRPr="00E267AB" w:rsidRDefault="003C365E" w:rsidP="00E267AB">
      <w:pPr>
        <w:jc w:val="center"/>
        <w:rPr>
          <w:lang w:val="fr-FR"/>
        </w:rPr>
      </w:pPr>
    </w:p>
    <w:p w:rsidR="00E77CB3" w:rsidRPr="00E267AB" w:rsidRDefault="0070413E" w:rsidP="00E267AB">
      <w:pPr>
        <w:jc w:val="left"/>
        <w:rPr>
          <w:szCs w:val="24"/>
          <w:lang w:val="fr-FR"/>
        </w:rPr>
      </w:pPr>
      <w:r w:rsidRPr="00E267AB">
        <w:rPr>
          <w:i/>
          <w:szCs w:val="24"/>
          <w:lang w:val="fr-FR"/>
        </w:rPr>
        <w:t>Cet arrêt deviendra définitif dans les conditions définies à l</w:t>
      </w:r>
      <w:r w:rsidR="00E267AB" w:rsidRPr="00E267AB">
        <w:rPr>
          <w:i/>
          <w:szCs w:val="24"/>
          <w:lang w:val="fr-FR"/>
        </w:rPr>
        <w:t>’</w:t>
      </w:r>
      <w:r w:rsidRPr="00E267AB">
        <w:rPr>
          <w:i/>
          <w:szCs w:val="24"/>
          <w:lang w:val="fr-FR"/>
        </w:rPr>
        <w:t>article 44 § 2 de la Convention. Il peut subir des retouches de forme.</w:t>
      </w:r>
    </w:p>
    <w:p w:rsidR="00A9142F" w:rsidRPr="00E267AB" w:rsidRDefault="00A9142F" w:rsidP="00E267AB">
      <w:pPr>
        <w:rPr>
          <w:szCs w:val="24"/>
          <w:lang w:val="fr-FR"/>
        </w:rPr>
      </w:pPr>
    </w:p>
    <w:p w:rsidR="00A9142F" w:rsidRPr="00E267AB" w:rsidRDefault="00A9142F" w:rsidP="00E267AB">
      <w:pPr>
        <w:rPr>
          <w:b/>
          <w:szCs w:val="24"/>
          <w:u w:val="single"/>
          <w:lang w:val="fr-FR"/>
        </w:rPr>
      </w:pPr>
    </w:p>
    <w:p w:rsidR="0070413E" w:rsidRPr="00E267AB" w:rsidRDefault="0070413E" w:rsidP="00E267AB">
      <w:pPr>
        <w:pStyle w:val="JuCase"/>
        <w:rPr>
          <w:lang w:val="fr-FR"/>
        </w:rPr>
        <w:sectPr w:rsidR="0070413E" w:rsidRPr="00E267AB" w:rsidSect="0070413E">
          <w:head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E77CB3" w:rsidRPr="00E267AB" w:rsidRDefault="00E77CB3" w:rsidP="00E267AB">
      <w:pPr>
        <w:pStyle w:val="JuCase"/>
        <w:rPr>
          <w:lang w:val="fr-FR"/>
        </w:rPr>
      </w:pPr>
      <w:r w:rsidRPr="00E267AB">
        <w:rPr>
          <w:lang w:val="fr-FR"/>
        </w:rPr>
        <w:lastRenderedPageBreak/>
        <w:t>En l</w:t>
      </w:r>
      <w:r w:rsidR="00E267AB" w:rsidRPr="00E267AB">
        <w:rPr>
          <w:lang w:val="fr-FR"/>
        </w:rPr>
        <w:t>’</w:t>
      </w:r>
      <w:r w:rsidRPr="00E267AB">
        <w:rPr>
          <w:lang w:val="fr-FR"/>
        </w:rPr>
        <w:t xml:space="preserve">affaire </w:t>
      </w:r>
      <w:r w:rsidR="00F77BDB" w:rsidRPr="00E267AB">
        <w:rPr>
          <w:lang w:val="fr-FR"/>
        </w:rPr>
        <w:t>Strumia c. Italie</w:t>
      </w:r>
      <w:r w:rsidRPr="00E267AB">
        <w:rPr>
          <w:lang w:val="fr-FR"/>
        </w:rPr>
        <w:t>,</w:t>
      </w:r>
    </w:p>
    <w:p w:rsidR="00E77CB3" w:rsidRPr="00E267AB" w:rsidRDefault="00E77CB3" w:rsidP="00E267AB">
      <w:pPr>
        <w:pStyle w:val="ECHRPara"/>
        <w:rPr>
          <w:lang w:val="fr-FR"/>
        </w:rPr>
      </w:pPr>
      <w:r w:rsidRPr="00E267AB">
        <w:rPr>
          <w:lang w:val="fr-FR"/>
        </w:rPr>
        <w:t>La Cour européenne des droits de l</w:t>
      </w:r>
      <w:r w:rsidR="00E267AB" w:rsidRPr="00E267AB">
        <w:rPr>
          <w:lang w:val="fr-FR"/>
        </w:rPr>
        <w:t>’</w:t>
      </w:r>
      <w:r w:rsidRPr="00E267AB">
        <w:rPr>
          <w:lang w:val="fr-FR"/>
        </w:rPr>
        <w:t>homme (</w:t>
      </w:r>
      <w:r w:rsidR="00F77BDB" w:rsidRPr="00E267AB">
        <w:rPr>
          <w:lang w:val="fr-FR"/>
        </w:rPr>
        <w:t>première section</w:t>
      </w:r>
      <w:r w:rsidRPr="00E267AB">
        <w:rPr>
          <w:lang w:val="fr-FR"/>
        </w:rPr>
        <w:t xml:space="preserve">), siégeant en </w:t>
      </w:r>
      <w:r w:rsidR="00F77BDB" w:rsidRPr="00E267AB">
        <w:rPr>
          <w:lang w:val="fr-FR"/>
        </w:rPr>
        <w:t>une chambre composée</w:t>
      </w:r>
      <w:r w:rsidRPr="00E267AB">
        <w:rPr>
          <w:lang w:val="fr-FR"/>
        </w:rPr>
        <w:t xml:space="preserve"> de :</w:t>
      </w:r>
    </w:p>
    <w:p w:rsidR="00E77CB3" w:rsidRPr="00E267AB" w:rsidRDefault="0070413E" w:rsidP="00E267AB">
      <w:pPr>
        <w:pStyle w:val="ECHRDecisionBody"/>
        <w:rPr>
          <w:lang w:val="fr-FR"/>
        </w:rPr>
      </w:pPr>
      <w:r w:rsidRPr="00E267AB">
        <w:rPr>
          <w:lang w:val="fr-FR"/>
        </w:rPr>
        <w:tab/>
        <w:t>Mirjana Lazarova Trajkovska,</w:t>
      </w:r>
      <w:r w:rsidRPr="00E267AB">
        <w:rPr>
          <w:i/>
          <w:lang w:val="fr-FR"/>
        </w:rPr>
        <w:t xml:space="preserve"> présidente,</w:t>
      </w:r>
      <w:r w:rsidRPr="00E267AB">
        <w:rPr>
          <w:i/>
          <w:lang w:val="fr-FR"/>
        </w:rPr>
        <w:br/>
      </w:r>
      <w:r w:rsidRPr="00E267AB">
        <w:rPr>
          <w:lang w:val="fr-FR"/>
        </w:rPr>
        <w:tab/>
        <w:t>Ledi Bianku,</w:t>
      </w:r>
      <w:r w:rsidRPr="00E267AB">
        <w:rPr>
          <w:i/>
          <w:lang w:val="fr-FR"/>
        </w:rPr>
        <w:br/>
      </w:r>
      <w:r w:rsidRPr="00E267AB">
        <w:rPr>
          <w:lang w:val="fr-FR"/>
        </w:rPr>
        <w:tab/>
        <w:t>Guido Raimondi,</w:t>
      </w:r>
      <w:r w:rsidRPr="00E267AB">
        <w:rPr>
          <w:i/>
          <w:lang w:val="fr-FR"/>
        </w:rPr>
        <w:br/>
      </w:r>
      <w:r w:rsidRPr="00E267AB">
        <w:rPr>
          <w:lang w:val="fr-FR"/>
        </w:rPr>
        <w:tab/>
        <w:t>Kristina Pardalos,</w:t>
      </w:r>
      <w:r w:rsidRPr="00E267AB">
        <w:rPr>
          <w:i/>
          <w:lang w:val="fr-FR"/>
        </w:rPr>
        <w:br/>
      </w:r>
      <w:r w:rsidRPr="00E267AB">
        <w:rPr>
          <w:lang w:val="fr-FR"/>
        </w:rPr>
        <w:tab/>
        <w:t>Linos-Alexandre Sicilianos,</w:t>
      </w:r>
      <w:r w:rsidRPr="00E267AB">
        <w:rPr>
          <w:i/>
          <w:lang w:val="fr-FR"/>
        </w:rPr>
        <w:br/>
      </w:r>
      <w:r w:rsidRPr="00E267AB">
        <w:rPr>
          <w:lang w:val="fr-FR"/>
        </w:rPr>
        <w:tab/>
        <w:t>Robert Spano,</w:t>
      </w:r>
      <w:r w:rsidRPr="00E267AB">
        <w:rPr>
          <w:i/>
          <w:lang w:val="fr-FR"/>
        </w:rPr>
        <w:br/>
      </w:r>
      <w:r w:rsidRPr="00E267AB">
        <w:rPr>
          <w:lang w:val="fr-FR"/>
        </w:rPr>
        <w:tab/>
        <w:t>Pauliine Koskelo,</w:t>
      </w:r>
      <w:r w:rsidRPr="00E267AB">
        <w:rPr>
          <w:i/>
          <w:lang w:val="fr-FR"/>
        </w:rPr>
        <w:t xml:space="preserve"> juges,</w:t>
      </w:r>
      <w:r w:rsidR="00E77CB3" w:rsidRPr="00E267AB">
        <w:rPr>
          <w:lang w:val="fr-FR"/>
        </w:rPr>
        <w:br/>
        <w:t xml:space="preserve">et de </w:t>
      </w:r>
      <w:r w:rsidRPr="00E267AB">
        <w:rPr>
          <w:lang w:val="fr-FR"/>
        </w:rPr>
        <w:t>Abel Campos</w:t>
      </w:r>
      <w:r w:rsidR="00E77CB3" w:rsidRPr="00E267AB">
        <w:rPr>
          <w:lang w:val="fr-FR"/>
        </w:rPr>
        <w:t xml:space="preserve">, </w:t>
      </w:r>
      <w:r w:rsidR="00F77BDB" w:rsidRPr="00E267AB">
        <w:rPr>
          <w:i/>
          <w:lang w:val="fr-FR"/>
        </w:rPr>
        <w:t>greffier</w:t>
      </w:r>
      <w:r w:rsidR="00F77BDB" w:rsidRPr="00E267AB">
        <w:rPr>
          <w:iCs/>
          <w:lang w:val="fr-FR"/>
        </w:rPr>
        <w:t xml:space="preserve"> </w:t>
      </w:r>
      <w:r w:rsidR="00F77BDB" w:rsidRPr="00E267AB">
        <w:rPr>
          <w:i/>
          <w:iCs/>
          <w:lang w:val="fr-FR"/>
        </w:rPr>
        <w:t>d</w:t>
      </w:r>
      <w:r w:rsidR="00F77BDB" w:rsidRPr="00E267AB">
        <w:rPr>
          <w:i/>
          <w:lang w:val="fr-FR"/>
        </w:rPr>
        <w:t>e section</w:t>
      </w:r>
      <w:r w:rsidR="00E77CB3" w:rsidRPr="00E267AB">
        <w:rPr>
          <w:lang w:val="fr-FR"/>
        </w:rPr>
        <w:t>,</w:t>
      </w:r>
    </w:p>
    <w:p w:rsidR="00E77CB3" w:rsidRPr="00E267AB" w:rsidRDefault="00E77CB3" w:rsidP="00E267AB">
      <w:pPr>
        <w:pStyle w:val="ECHRPara"/>
        <w:rPr>
          <w:lang w:val="fr-FR"/>
        </w:rPr>
      </w:pPr>
      <w:r w:rsidRPr="00E267AB">
        <w:rPr>
          <w:lang w:val="fr-FR"/>
        </w:rPr>
        <w:t xml:space="preserve">Après en avoir délibéré en chambre du conseil le </w:t>
      </w:r>
      <w:r w:rsidR="0070413E" w:rsidRPr="00E267AB">
        <w:rPr>
          <w:lang w:val="fr-FR"/>
        </w:rPr>
        <w:t>31 mai 2016</w:t>
      </w:r>
      <w:r w:rsidRPr="00E267AB">
        <w:rPr>
          <w:lang w:val="fr-FR"/>
        </w:rPr>
        <w:t>,</w:t>
      </w:r>
    </w:p>
    <w:p w:rsidR="00E77CB3" w:rsidRPr="00E267AB" w:rsidRDefault="00E77CB3" w:rsidP="00E267AB">
      <w:pPr>
        <w:pStyle w:val="ECHRPara"/>
        <w:rPr>
          <w:lang w:val="fr-FR"/>
        </w:rPr>
      </w:pPr>
      <w:r w:rsidRPr="00E267AB">
        <w:rPr>
          <w:lang w:val="fr-FR"/>
        </w:rPr>
        <w:t>Rend l</w:t>
      </w:r>
      <w:r w:rsidR="00E267AB" w:rsidRPr="00E267AB">
        <w:rPr>
          <w:lang w:val="fr-FR"/>
        </w:rPr>
        <w:t>’</w:t>
      </w:r>
      <w:r w:rsidRPr="00E267AB">
        <w:rPr>
          <w:lang w:val="fr-FR"/>
        </w:rPr>
        <w:t>arrêt que voici, adopté à cette date :</w:t>
      </w:r>
    </w:p>
    <w:p w:rsidR="00E77CB3" w:rsidRPr="00E267AB" w:rsidRDefault="00E77CB3" w:rsidP="00E267AB">
      <w:pPr>
        <w:pStyle w:val="ECHRTitle1"/>
        <w:rPr>
          <w:lang w:val="fr-FR"/>
        </w:rPr>
      </w:pPr>
      <w:r w:rsidRPr="00E267AB">
        <w:rPr>
          <w:lang w:val="fr-FR"/>
        </w:rPr>
        <w:t>PROCÉDURE</w:t>
      </w:r>
    </w:p>
    <w:p w:rsidR="00E77CB3" w:rsidRPr="00E267AB" w:rsidRDefault="00F77BDB"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w:t>
      </w:r>
      <w:r w:rsidRPr="00E267AB">
        <w:rPr>
          <w:lang w:val="fr-FR"/>
        </w:rPr>
        <w:fldChar w:fldCharType="end"/>
      </w:r>
      <w:r w:rsidR="00E77CB3" w:rsidRPr="00E267AB">
        <w:rPr>
          <w:lang w:val="fr-FR"/>
        </w:rPr>
        <w:t>.  À l</w:t>
      </w:r>
      <w:r w:rsidR="00E267AB" w:rsidRPr="00E267AB">
        <w:rPr>
          <w:lang w:val="fr-FR"/>
        </w:rPr>
        <w:t>’</w:t>
      </w:r>
      <w:r w:rsidR="00E77CB3" w:rsidRPr="00E267AB">
        <w:rPr>
          <w:lang w:val="fr-FR"/>
        </w:rPr>
        <w:t>origine de l</w:t>
      </w:r>
      <w:r w:rsidR="00E267AB" w:rsidRPr="00E267AB">
        <w:rPr>
          <w:lang w:val="fr-FR"/>
        </w:rPr>
        <w:t>’</w:t>
      </w:r>
      <w:r w:rsidR="00E77CB3" w:rsidRPr="00E267AB">
        <w:rPr>
          <w:lang w:val="fr-FR"/>
        </w:rPr>
        <w:t xml:space="preserve">affaire </w:t>
      </w:r>
      <w:r w:rsidRPr="00E267AB">
        <w:rPr>
          <w:lang w:val="fr-FR"/>
        </w:rPr>
        <w:t>se trouve une requête (n</w:t>
      </w:r>
      <w:r w:rsidRPr="00E267AB">
        <w:rPr>
          <w:vertAlign w:val="superscript"/>
          <w:lang w:val="fr-FR"/>
        </w:rPr>
        <w:t>o</w:t>
      </w:r>
      <w:r w:rsidRPr="00E267AB">
        <w:rPr>
          <w:lang w:val="fr-FR"/>
        </w:rPr>
        <w:t xml:space="preserve"> 53377/13) dirigée</w:t>
      </w:r>
      <w:r w:rsidR="00E77CB3" w:rsidRPr="00E267AB">
        <w:rPr>
          <w:lang w:val="fr-FR"/>
        </w:rPr>
        <w:t xml:space="preserve"> contre </w:t>
      </w:r>
      <w:r w:rsidRPr="00E267AB">
        <w:rPr>
          <w:lang w:val="fr-FR"/>
        </w:rPr>
        <w:t>la République italienne</w:t>
      </w:r>
      <w:r w:rsidR="00E77CB3" w:rsidRPr="00E267AB">
        <w:rPr>
          <w:lang w:val="fr-FR"/>
        </w:rPr>
        <w:t xml:space="preserve"> et dont </w:t>
      </w:r>
      <w:r w:rsidRPr="00E267AB">
        <w:rPr>
          <w:lang w:val="fr-FR"/>
        </w:rPr>
        <w:t>un ressortissant de cet État, M.</w:t>
      </w:r>
      <w:r w:rsidR="002B2BA1" w:rsidRPr="00E267AB">
        <w:rPr>
          <w:lang w:val="fr-FR"/>
        </w:rPr>
        <w:t> </w:t>
      </w:r>
      <w:r w:rsidRPr="00E267AB">
        <w:rPr>
          <w:lang w:val="fr-FR"/>
        </w:rPr>
        <w:t>Alessandro Strumia (« le requérant »), a saisi la Cour le 2 août 2013</w:t>
      </w:r>
      <w:r w:rsidR="00E77CB3" w:rsidRPr="00E267AB">
        <w:rPr>
          <w:lang w:val="fr-FR"/>
        </w:rPr>
        <w:t xml:space="preserve"> en vertu de </w:t>
      </w:r>
      <w:r w:rsidRPr="00E267AB">
        <w:rPr>
          <w:lang w:val="fr-FR"/>
        </w:rPr>
        <w:t>l</w:t>
      </w:r>
      <w:r w:rsidR="00E267AB" w:rsidRPr="00E267AB">
        <w:rPr>
          <w:lang w:val="fr-FR"/>
        </w:rPr>
        <w:t>’</w:t>
      </w:r>
      <w:r w:rsidRPr="00E267AB">
        <w:rPr>
          <w:lang w:val="fr-FR"/>
        </w:rPr>
        <w:t>article 34</w:t>
      </w:r>
      <w:r w:rsidR="00E77CB3" w:rsidRPr="00E267AB">
        <w:rPr>
          <w:lang w:val="fr-FR"/>
        </w:rPr>
        <w:t xml:space="preserve"> de la Convention de sauvegarde des droits de l</w:t>
      </w:r>
      <w:r w:rsidR="00E267AB" w:rsidRPr="00E267AB">
        <w:rPr>
          <w:lang w:val="fr-FR"/>
        </w:rPr>
        <w:t>’</w:t>
      </w:r>
      <w:r w:rsidR="00E77CB3" w:rsidRPr="00E267AB">
        <w:rPr>
          <w:lang w:val="fr-FR"/>
        </w:rPr>
        <w:t>homme et des libertés fondamentales (« la Convention »).</w:t>
      </w:r>
    </w:p>
    <w:p w:rsidR="00220F75" w:rsidRPr="00E267AB" w:rsidRDefault="00F77BDB"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2</w:t>
      </w:r>
      <w:r w:rsidRPr="00E267AB">
        <w:rPr>
          <w:lang w:val="fr-FR"/>
        </w:rPr>
        <w:fldChar w:fldCharType="end"/>
      </w:r>
      <w:r w:rsidR="00E77CB3" w:rsidRPr="00E267AB">
        <w:rPr>
          <w:lang w:val="fr-FR"/>
        </w:rPr>
        <w:t>.  </w:t>
      </w:r>
      <w:r w:rsidRPr="00E267AB">
        <w:rPr>
          <w:lang w:val="fr-FR"/>
        </w:rPr>
        <w:t>Le requérant a été représenté par M</w:t>
      </w:r>
      <w:r w:rsidRPr="00E267AB">
        <w:rPr>
          <w:vertAlign w:val="superscript"/>
          <w:lang w:val="fr-FR"/>
        </w:rPr>
        <w:t>e</w:t>
      </w:r>
      <w:r w:rsidRPr="00E267AB">
        <w:rPr>
          <w:lang w:val="fr-FR"/>
        </w:rPr>
        <w:t xml:space="preserve"> I. Saba, avocat à Pise. </w:t>
      </w:r>
      <w:r w:rsidR="00E77CB3" w:rsidRPr="00E267AB">
        <w:rPr>
          <w:lang w:val="fr-FR"/>
        </w:rPr>
        <w:t xml:space="preserve">Le gouvernement </w:t>
      </w:r>
      <w:r w:rsidRPr="00E267AB">
        <w:rPr>
          <w:lang w:val="fr-FR"/>
        </w:rPr>
        <w:t>italien</w:t>
      </w:r>
      <w:r w:rsidR="00E77CB3" w:rsidRPr="00E267AB">
        <w:rPr>
          <w:lang w:val="fr-FR"/>
        </w:rPr>
        <w:t xml:space="preserve"> (« le Gouvernement ») a été représenté par son agent</w:t>
      </w:r>
      <w:r w:rsidR="002B2BA1" w:rsidRPr="00E267AB">
        <w:rPr>
          <w:lang w:val="fr-FR"/>
        </w:rPr>
        <w:t>e</w:t>
      </w:r>
      <w:r w:rsidR="00220F75" w:rsidRPr="00E267AB">
        <w:rPr>
          <w:lang w:val="fr-FR"/>
        </w:rPr>
        <w:t>, M</w:t>
      </w:r>
      <w:r w:rsidR="00220F75" w:rsidRPr="00E267AB">
        <w:rPr>
          <w:vertAlign w:val="superscript"/>
          <w:lang w:val="fr-FR"/>
        </w:rPr>
        <w:t>me </w:t>
      </w:r>
      <w:r w:rsidR="00220F75" w:rsidRPr="00E267AB">
        <w:rPr>
          <w:lang w:val="fr-FR"/>
        </w:rPr>
        <w:t>E. Spatafora.</w:t>
      </w:r>
    </w:p>
    <w:p w:rsidR="00E77CB3" w:rsidRPr="00E267AB" w:rsidRDefault="00F038E6" w:rsidP="00E267AB">
      <w:pPr>
        <w:pStyle w:val="ECHRPara"/>
        <w:rPr>
          <w:szCs w:val="24"/>
          <w:lang w:val="fr-FR" w:eastAsia="en-GB"/>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3</w:t>
      </w:r>
      <w:r w:rsidRPr="00E267AB">
        <w:rPr>
          <w:lang w:val="fr-FR"/>
        </w:rPr>
        <w:fldChar w:fldCharType="end"/>
      </w:r>
      <w:r w:rsidRPr="00E267AB">
        <w:rPr>
          <w:lang w:val="fr-FR"/>
        </w:rPr>
        <w:t>.  </w:t>
      </w:r>
      <w:r w:rsidR="00F77BDB" w:rsidRPr="00E267AB">
        <w:rPr>
          <w:lang w:val="fr-FR"/>
        </w:rPr>
        <w:t xml:space="preserve">Le </w:t>
      </w:r>
      <w:r w:rsidR="00F77BDB" w:rsidRPr="00E267AB">
        <w:rPr>
          <w:szCs w:val="24"/>
          <w:lang w:val="fr-FR"/>
        </w:rPr>
        <w:t>9 décembre 2014</w:t>
      </w:r>
      <w:r w:rsidR="00E77CB3" w:rsidRPr="00E267AB">
        <w:rPr>
          <w:lang w:val="fr-FR"/>
        </w:rPr>
        <w:t xml:space="preserve">, </w:t>
      </w:r>
      <w:r w:rsidR="00F77BDB" w:rsidRPr="00E267AB">
        <w:rPr>
          <w:lang w:val="fr-FR"/>
        </w:rPr>
        <w:t>la requête a été communiquée au Gouvernement</w:t>
      </w:r>
      <w:r w:rsidR="00C1262B" w:rsidRPr="00E267AB">
        <w:rPr>
          <w:lang w:val="fr-FR"/>
        </w:rPr>
        <w:t>.</w:t>
      </w:r>
    </w:p>
    <w:p w:rsidR="00E77CB3" w:rsidRPr="00E267AB" w:rsidRDefault="00E77CB3" w:rsidP="00E267AB">
      <w:pPr>
        <w:pStyle w:val="ECHRTitle1"/>
        <w:tabs>
          <w:tab w:val="left" w:pos="5387"/>
        </w:tabs>
        <w:rPr>
          <w:lang w:val="fr-FR"/>
        </w:rPr>
      </w:pPr>
      <w:r w:rsidRPr="00E267AB">
        <w:rPr>
          <w:lang w:val="fr-FR"/>
        </w:rPr>
        <w:t>EN FAIT</w:t>
      </w:r>
    </w:p>
    <w:p w:rsidR="00E77CB3" w:rsidRPr="00E267AB" w:rsidRDefault="00E77CB3" w:rsidP="00E267AB">
      <w:pPr>
        <w:pStyle w:val="ECHRHeading1"/>
        <w:rPr>
          <w:lang w:val="fr-FR"/>
        </w:rPr>
      </w:pPr>
      <w:r w:rsidRPr="00E267AB">
        <w:rPr>
          <w:lang w:val="fr-FR"/>
        </w:rPr>
        <w:t>I.  LES CIRCONSTANCES DE L</w:t>
      </w:r>
      <w:r w:rsidR="00E267AB" w:rsidRPr="00E267AB">
        <w:rPr>
          <w:lang w:val="fr-FR"/>
        </w:rPr>
        <w:t>’</w:t>
      </w:r>
      <w:r w:rsidRPr="00E267AB">
        <w:rPr>
          <w:lang w:val="fr-FR"/>
        </w:rPr>
        <w:t>ESPÈCE</w:t>
      </w:r>
    </w:p>
    <w:p w:rsidR="00B2535F" w:rsidRPr="00E267AB" w:rsidRDefault="00475A69"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4</w:t>
      </w:r>
      <w:r w:rsidRPr="00E267AB">
        <w:rPr>
          <w:lang w:val="fr-FR"/>
        </w:rPr>
        <w:fldChar w:fldCharType="end"/>
      </w:r>
      <w:r w:rsidRPr="00E267AB">
        <w:rPr>
          <w:lang w:val="fr-FR"/>
        </w:rPr>
        <w:t>.  </w:t>
      </w:r>
      <w:r w:rsidR="00B2535F" w:rsidRPr="00E267AB">
        <w:rPr>
          <w:lang w:val="fr-FR"/>
        </w:rPr>
        <w:t>Du mariage du requérant avec N.R</w:t>
      </w:r>
      <w:r w:rsidR="002B2BA1" w:rsidRPr="00E267AB">
        <w:rPr>
          <w:lang w:val="fr-FR"/>
        </w:rPr>
        <w:t>.</w:t>
      </w:r>
      <w:r w:rsidR="00B2535F" w:rsidRPr="00E267AB">
        <w:rPr>
          <w:lang w:val="fr-FR"/>
        </w:rPr>
        <w:t xml:space="preserve"> naquit un</w:t>
      </w:r>
      <w:r w:rsidR="002B2BA1" w:rsidRPr="00E267AB">
        <w:rPr>
          <w:lang w:val="fr-FR"/>
        </w:rPr>
        <w:t>e</w:t>
      </w:r>
      <w:r w:rsidR="00B2535F" w:rsidRPr="00E267AB">
        <w:rPr>
          <w:lang w:val="fr-FR"/>
        </w:rPr>
        <w:t xml:space="preserve"> enfant, S., le 11</w:t>
      </w:r>
      <w:r w:rsidR="002B2BA1" w:rsidRPr="00E267AB">
        <w:rPr>
          <w:lang w:val="fr-FR"/>
        </w:rPr>
        <w:t> </w:t>
      </w:r>
      <w:r w:rsidR="00B2535F" w:rsidRPr="00E267AB">
        <w:rPr>
          <w:lang w:val="fr-FR"/>
        </w:rPr>
        <w:t>septembre 2004. Le 1</w:t>
      </w:r>
      <w:r w:rsidR="00B2535F" w:rsidRPr="00E267AB">
        <w:rPr>
          <w:vertAlign w:val="superscript"/>
          <w:lang w:val="fr-FR"/>
        </w:rPr>
        <w:t xml:space="preserve">er </w:t>
      </w:r>
      <w:r w:rsidR="00B2535F" w:rsidRPr="00E267AB">
        <w:rPr>
          <w:lang w:val="fr-FR"/>
        </w:rPr>
        <w:t>mai 2007, N.R</w:t>
      </w:r>
      <w:r w:rsidR="00FC4BD8" w:rsidRPr="00E267AB">
        <w:rPr>
          <w:lang w:val="fr-FR"/>
        </w:rPr>
        <w:t>.</w:t>
      </w:r>
      <w:r w:rsidR="00B2535F" w:rsidRPr="00E267AB">
        <w:rPr>
          <w:lang w:val="fr-FR"/>
        </w:rPr>
        <w:t xml:space="preserve"> quitta le domicile familial avec l</w:t>
      </w:r>
      <w:r w:rsidR="00E267AB" w:rsidRPr="00E267AB">
        <w:rPr>
          <w:lang w:val="fr-FR"/>
        </w:rPr>
        <w:t>’</w:t>
      </w:r>
      <w:r w:rsidR="00B2535F" w:rsidRPr="00E267AB">
        <w:rPr>
          <w:lang w:val="fr-FR"/>
        </w:rPr>
        <w:t>enfant et alla vivre chez sa famille à Piombino. Dès son départ, N.R. manifesta une forte opposition à toute relation entre le requérant et S.</w:t>
      </w:r>
      <w:r w:rsidR="002B2BA1" w:rsidRPr="00E267AB">
        <w:rPr>
          <w:lang w:val="fr-FR"/>
        </w:rPr>
        <w:t>,</w:t>
      </w:r>
      <w:r w:rsidR="00B2535F" w:rsidRPr="00E267AB">
        <w:rPr>
          <w:lang w:val="fr-FR"/>
        </w:rPr>
        <w:t xml:space="preserve"> âgée alors de trois ans.</w:t>
      </w:r>
      <w:r w:rsidR="007C5B16" w:rsidRPr="00E267AB">
        <w:rPr>
          <w:lang w:val="fr-FR"/>
        </w:rPr>
        <w:t xml:space="preserve"> Une procédure civile a été </w:t>
      </w:r>
      <w:r w:rsidR="005C7303" w:rsidRPr="00E267AB">
        <w:rPr>
          <w:lang w:val="fr-FR"/>
        </w:rPr>
        <w:t>menée (A)</w:t>
      </w:r>
      <w:r w:rsidR="007C5B16" w:rsidRPr="00E267AB">
        <w:rPr>
          <w:lang w:val="fr-FR"/>
        </w:rPr>
        <w:t xml:space="preserve"> en parallèle à </w:t>
      </w:r>
      <w:r w:rsidR="007732EA" w:rsidRPr="00E267AB">
        <w:rPr>
          <w:lang w:val="fr-FR"/>
        </w:rPr>
        <w:t xml:space="preserve">deux </w:t>
      </w:r>
      <w:r w:rsidR="007C5B16" w:rsidRPr="00E267AB">
        <w:rPr>
          <w:lang w:val="fr-FR"/>
        </w:rPr>
        <w:t>procédure</w:t>
      </w:r>
      <w:r w:rsidR="007732EA" w:rsidRPr="00E267AB">
        <w:rPr>
          <w:lang w:val="fr-FR"/>
        </w:rPr>
        <w:t>s</w:t>
      </w:r>
      <w:r w:rsidR="007C5B16" w:rsidRPr="00E267AB">
        <w:rPr>
          <w:lang w:val="fr-FR"/>
        </w:rPr>
        <w:t xml:space="preserve"> pénale</w:t>
      </w:r>
      <w:r w:rsidR="007732EA" w:rsidRPr="00E267AB">
        <w:rPr>
          <w:lang w:val="fr-FR"/>
        </w:rPr>
        <w:t>s</w:t>
      </w:r>
      <w:r w:rsidR="005C7303" w:rsidRPr="00E267AB">
        <w:rPr>
          <w:lang w:val="fr-FR"/>
        </w:rPr>
        <w:t xml:space="preserve"> </w:t>
      </w:r>
      <w:r w:rsidR="007732EA" w:rsidRPr="00E267AB">
        <w:rPr>
          <w:lang w:val="fr-FR"/>
        </w:rPr>
        <w:t xml:space="preserve">(B et </w:t>
      </w:r>
      <w:r w:rsidR="005C7303" w:rsidRPr="00E267AB">
        <w:rPr>
          <w:lang w:val="fr-FR"/>
        </w:rPr>
        <w:t>C)</w:t>
      </w:r>
      <w:r w:rsidR="007732EA" w:rsidRPr="00E267AB">
        <w:rPr>
          <w:lang w:val="fr-FR"/>
        </w:rPr>
        <w:t>.</w:t>
      </w:r>
    </w:p>
    <w:p w:rsidR="00B2535F" w:rsidRPr="00E267AB" w:rsidRDefault="00B2535F" w:rsidP="00E267AB">
      <w:pPr>
        <w:pStyle w:val="ECHRHeading2"/>
        <w:rPr>
          <w:lang w:val="fr-FR"/>
        </w:rPr>
      </w:pPr>
      <w:r w:rsidRPr="00E267AB">
        <w:rPr>
          <w:lang w:val="fr-FR"/>
        </w:rPr>
        <w:lastRenderedPageBreak/>
        <w:t>A.  Procédure tendant à l</w:t>
      </w:r>
      <w:r w:rsidR="00E267AB" w:rsidRPr="00E267AB">
        <w:rPr>
          <w:lang w:val="fr-FR"/>
        </w:rPr>
        <w:t>’</w:t>
      </w:r>
      <w:r w:rsidRPr="00E267AB">
        <w:rPr>
          <w:lang w:val="fr-FR"/>
        </w:rPr>
        <w:t>établissement des modalités d</w:t>
      </w:r>
      <w:r w:rsidR="00E267AB" w:rsidRPr="00E267AB">
        <w:rPr>
          <w:lang w:val="fr-FR"/>
        </w:rPr>
        <w:t>’</w:t>
      </w:r>
      <w:r w:rsidRPr="00E267AB">
        <w:rPr>
          <w:lang w:val="fr-FR"/>
        </w:rPr>
        <w:t>exercice du droit de visite du requérant à l</w:t>
      </w:r>
      <w:r w:rsidR="00E267AB" w:rsidRPr="00E267AB">
        <w:rPr>
          <w:lang w:val="fr-FR"/>
        </w:rPr>
        <w:t>’</w:t>
      </w:r>
      <w:r w:rsidRPr="00E267AB">
        <w:rPr>
          <w:lang w:val="fr-FR"/>
        </w:rPr>
        <w:t>égard de sa fille</w:t>
      </w:r>
    </w:p>
    <w:p w:rsidR="008024AE" w:rsidRPr="00E267AB" w:rsidRDefault="00475A69"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5</w:t>
      </w:r>
      <w:r w:rsidRPr="00E267AB">
        <w:rPr>
          <w:lang w:val="fr-FR"/>
        </w:rPr>
        <w:fldChar w:fldCharType="end"/>
      </w:r>
      <w:r w:rsidRPr="00E267AB">
        <w:rPr>
          <w:lang w:val="fr-FR"/>
        </w:rPr>
        <w:t>.  </w:t>
      </w:r>
      <w:r w:rsidR="00B2535F" w:rsidRPr="00E267AB">
        <w:rPr>
          <w:lang w:val="fr-FR"/>
        </w:rPr>
        <w:t xml:space="preserve">Le 21 mai 2007, N.R. saisit le tribunal pour enfants de Florence </w:t>
      </w:r>
      <w:r w:rsidR="00E50658" w:rsidRPr="00E267AB">
        <w:rPr>
          <w:lang w:val="fr-FR"/>
        </w:rPr>
        <w:t>d</w:t>
      </w:r>
      <w:r w:rsidR="00E267AB" w:rsidRPr="00E267AB">
        <w:rPr>
          <w:lang w:val="fr-FR"/>
        </w:rPr>
        <w:t>’</w:t>
      </w:r>
      <w:r w:rsidR="00E50658" w:rsidRPr="00E267AB">
        <w:rPr>
          <w:lang w:val="fr-FR"/>
        </w:rPr>
        <w:t>une</w:t>
      </w:r>
      <w:r w:rsidR="00B2535F" w:rsidRPr="00E267AB">
        <w:rPr>
          <w:lang w:val="fr-FR"/>
        </w:rPr>
        <w:t xml:space="preserve"> demande</w:t>
      </w:r>
      <w:r w:rsidR="00E50658" w:rsidRPr="00E267AB">
        <w:rPr>
          <w:lang w:val="fr-FR"/>
        </w:rPr>
        <w:t xml:space="preserve"> d</w:t>
      </w:r>
      <w:r w:rsidR="00E267AB" w:rsidRPr="00E267AB">
        <w:rPr>
          <w:lang w:val="fr-FR"/>
        </w:rPr>
        <w:t>’</w:t>
      </w:r>
      <w:r w:rsidR="00B2535F" w:rsidRPr="00E267AB">
        <w:rPr>
          <w:lang w:val="fr-FR"/>
        </w:rPr>
        <w:t>adoption de mesures urgentes concernant S.</w:t>
      </w:r>
      <w:r w:rsidR="002B2BA1" w:rsidRPr="00E267AB">
        <w:rPr>
          <w:lang w:val="fr-FR"/>
        </w:rPr>
        <w:t>, sur le fondement de l</w:t>
      </w:r>
      <w:r w:rsidR="00E267AB" w:rsidRPr="00E267AB">
        <w:rPr>
          <w:lang w:val="fr-FR"/>
        </w:rPr>
        <w:t>’</w:t>
      </w:r>
      <w:r w:rsidR="002B2BA1" w:rsidRPr="00E267AB">
        <w:rPr>
          <w:lang w:val="fr-FR"/>
        </w:rPr>
        <w:t>article 333 du code civil.</w:t>
      </w:r>
      <w:r w:rsidR="00B2535F" w:rsidRPr="00E267AB">
        <w:rPr>
          <w:lang w:val="fr-FR"/>
        </w:rPr>
        <w:t xml:space="preserve"> Elle </w:t>
      </w:r>
      <w:r w:rsidR="002B2BA1" w:rsidRPr="00E267AB">
        <w:rPr>
          <w:lang w:val="fr-FR"/>
        </w:rPr>
        <w:t>soutenait</w:t>
      </w:r>
      <w:r w:rsidR="00B2535F" w:rsidRPr="00E267AB">
        <w:rPr>
          <w:lang w:val="fr-FR"/>
        </w:rPr>
        <w:t xml:space="preserve"> que sa fille était victime de maltraitance de la part du requérant.</w:t>
      </w:r>
      <w:r w:rsidR="008024AE" w:rsidRPr="00E267AB">
        <w:rPr>
          <w:lang w:val="fr-FR"/>
        </w:rPr>
        <w:t xml:space="preserve"> Le 3 juillet 2007, N.R. déposa une plainte contre le requérant pour violence sexuelle sur l</w:t>
      </w:r>
      <w:r w:rsidR="00E267AB" w:rsidRPr="00E267AB">
        <w:rPr>
          <w:lang w:val="fr-FR"/>
        </w:rPr>
        <w:t>’</w:t>
      </w:r>
      <w:r w:rsidR="008024AE" w:rsidRPr="00E267AB">
        <w:rPr>
          <w:lang w:val="fr-FR"/>
        </w:rPr>
        <w:t>enfant.</w:t>
      </w:r>
    </w:p>
    <w:p w:rsidR="00B2535F" w:rsidRPr="00E267AB" w:rsidRDefault="00475A69"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6</w:t>
      </w:r>
      <w:r w:rsidRPr="00E267AB">
        <w:rPr>
          <w:lang w:val="fr-FR"/>
        </w:rPr>
        <w:fldChar w:fldCharType="end"/>
      </w:r>
      <w:r w:rsidRPr="00E267AB">
        <w:rPr>
          <w:lang w:val="fr-FR"/>
        </w:rPr>
        <w:t>.  </w:t>
      </w:r>
      <w:r w:rsidR="008024AE" w:rsidRPr="00E267AB">
        <w:rPr>
          <w:lang w:val="fr-FR"/>
        </w:rPr>
        <w:t>Le requérant</w:t>
      </w:r>
      <w:r w:rsidR="00B2535F" w:rsidRPr="00E267AB">
        <w:rPr>
          <w:lang w:val="fr-FR"/>
        </w:rPr>
        <w:t xml:space="preserve"> s</w:t>
      </w:r>
      <w:r w:rsidR="00E267AB" w:rsidRPr="00E267AB">
        <w:rPr>
          <w:lang w:val="fr-FR"/>
        </w:rPr>
        <w:t>’</w:t>
      </w:r>
      <w:r w:rsidR="00B2535F" w:rsidRPr="00E267AB">
        <w:rPr>
          <w:lang w:val="fr-FR"/>
        </w:rPr>
        <w:t xml:space="preserve">opposa </w:t>
      </w:r>
      <w:r w:rsidR="002B2BA1" w:rsidRPr="00E267AB">
        <w:rPr>
          <w:lang w:val="fr-FR"/>
        </w:rPr>
        <w:t>à cette demande</w:t>
      </w:r>
      <w:r w:rsidR="00B76F22" w:rsidRPr="00E267AB">
        <w:rPr>
          <w:lang w:val="fr-FR"/>
        </w:rPr>
        <w:t xml:space="preserve">, </w:t>
      </w:r>
      <w:r w:rsidR="00E50658" w:rsidRPr="00E267AB">
        <w:rPr>
          <w:lang w:val="fr-FR"/>
        </w:rPr>
        <w:t>se plaign</w:t>
      </w:r>
      <w:r w:rsidR="00B76F22" w:rsidRPr="00E267AB">
        <w:rPr>
          <w:lang w:val="fr-FR"/>
        </w:rPr>
        <w:t>an</w:t>
      </w:r>
      <w:r w:rsidR="00E50658" w:rsidRPr="00E267AB">
        <w:rPr>
          <w:lang w:val="fr-FR"/>
        </w:rPr>
        <w:t>t</w:t>
      </w:r>
      <w:r w:rsidR="00B2535F" w:rsidRPr="00E267AB">
        <w:rPr>
          <w:lang w:val="fr-FR"/>
        </w:rPr>
        <w:t xml:space="preserve"> que N.R</w:t>
      </w:r>
      <w:r w:rsidR="001F0DD3" w:rsidRPr="00E267AB">
        <w:rPr>
          <w:lang w:val="fr-FR"/>
        </w:rPr>
        <w:t>.</w:t>
      </w:r>
      <w:r w:rsidR="00B2535F" w:rsidRPr="00E267AB">
        <w:rPr>
          <w:lang w:val="fr-FR"/>
        </w:rPr>
        <w:t xml:space="preserve"> souhaitait </w:t>
      </w:r>
      <w:r w:rsidR="002B2BA1" w:rsidRPr="00E267AB">
        <w:rPr>
          <w:lang w:val="fr-FR"/>
        </w:rPr>
        <w:t>l</w:t>
      </w:r>
      <w:r w:rsidR="00E267AB" w:rsidRPr="00E267AB">
        <w:rPr>
          <w:lang w:val="fr-FR"/>
        </w:rPr>
        <w:t>’</w:t>
      </w:r>
      <w:r w:rsidR="00B2535F" w:rsidRPr="00E267AB">
        <w:rPr>
          <w:lang w:val="fr-FR"/>
        </w:rPr>
        <w:t>interr</w:t>
      </w:r>
      <w:r w:rsidR="002B2BA1" w:rsidRPr="00E267AB">
        <w:rPr>
          <w:lang w:val="fr-FR"/>
        </w:rPr>
        <w:t>uption de</w:t>
      </w:r>
      <w:r w:rsidR="00B2535F" w:rsidRPr="00E267AB">
        <w:rPr>
          <w:lang w:val="fr-FR"/>
        </w:rPr>
        <w:t xml:space="preserve"> tout contact entre lui et S. Il demanda au tribunal pour enfants d</w:t>
      </w:r>
      <w:r w:rsidR="00E267AB" w:rsidRPr="00E267AB">
        <w:rPr>
          <w:lang w:val="fr-FR"/>
        </w:rPr>
        <w:t>’</w:t>
      </w:r>
      <w:r w:rsidR="00002DEF" w:rsidRPr="00E267AB">
        <w:rPr>
          <w:lang w:val="fr-FR"/>
        </w:rPr>
        <w:t>établir</w:t>
      </w:r>
      <w:r w:rsidR="00B2535F" w:rsidRPr="00E267AB">
        <w:rPr>
          <w:lang w:val="fr-FR"/>
        </w:rPr>
        <w:t xml:space="preserve"> un calendrier de rencontres </w:t>
      </w:r>
      <w:r w:rsidR="00B41FA9" w:rsidRPr="00E267AB">
        <w:rPr>
          <w:lang w:val="fr-FR"/>
        </w:rPr>
        <w:t xml:space="preserve">en milieu </w:t>
      </w:r>
      <w:r w:rsidR="00B2535F" w:rsidRPr="00E267AB">
        <w:rPr>
          <w:lang w:val="fr-FR"/>
        </w:rPr>
        <w:t>protégé</w:t>
      </w:r>
      <w:r w:rsidR="00E50658" w:rsidRPr="00E267AB">
        <w:rPr>
          <w:lang w:val="fr-FR"/>
        </w:rPr>
        <w:t xml:space="preserve"> au motif qu</w:t>
      </w:r>
      <w:r w:rsidR="00E267AB" w:rsidRPr="00E267AB">
        <w:rPr>
          <w:lang w:val="fr-FR"/>
        </w:rPr>
        <w:t>’</w:t>
      </w:r>
      <w:r w:rsidR="00B2535F" w:rsidRPr="00E267AB">
        <w:rPr>
          <w:lang w:val="fr-FR"/>
        </w:rPr>
        <w:t>il n</w:t>
      </w:r>
      <w:r w:rsidR="00E267AB" w:rsidRPr="00E267AB">
        <w:rPr>
          <w:lang w:val="fr-FR"/>
        </w:rPr>
        <w:t>’</w:t>
      </w:r>
      <w:r w:rsidR="00B2535F" w:rsidRPr="00E267AB">
        <w:rPr>
          <w:lang w:val="fr-FR"/>
        </w:rPr>
        <w:t xml:space="preserve">avait pas pu exercer </w:t>
      </w:r>
      <w:r w:rsidR="005E35C2" w:rsidRPr="00E267AB">
        <w:rPr>
          <w:lang w:val="fr-FR"/>
        </w:rPr>
        <w:t>son</w:t>
      </w:r>
      <w:r w:rsidR="00B2535F" w:rsidRPr="00E267AB">
        <w:rPr>
          <w:lang w:val="fr-FR"/>
        </w:rPr>
        <w:t xml:space="preserve"> droit de visite</w:t>
      </w:r>
      <w:r w:rsidR="00E50658" w:rsidRPr="00E267AB">
        <w:rPr>
          <w:lang w:val="fr-FR"/>
        </w:rPr>
        <w:t xml:space="preserve"> jusque-là</w:t>
      </w:r>
      <w:r w:rsidR="00B2535F" w:rsidRPr="00E267AB">
        <w:rPr>
          <w:lang w:val="fr-FR"/>
        </w:rPr>
        <w:t>.</w:t>
      </w:r>
    </w:p>
    <w:p w:rsidR="00B2535F" w:rsidRPr="00E267AB" w:rsidRDefault="00475A69"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7</w:t>
      </w:r>
      <w:r w:rsidRPr="00E267AB">
        <w:rPr>
          <w:lang w:val="fr-FR"/>
        </w:rPr>
        <w:fldChar w:fldCharType="end"/>
      </w:r>
      <w:r w:rsidRPr="00E267AB">
        <w:rPr>
          <w:lang w:val="fr-FR"/>
        </w:rPr>
        <w:t>.  </w:t>
      </w:r>
      <w:r w:rsidR="00B2535F" w:rsidRPr="00E267AB">
        <w:rPr>
          <w:lang w:val="fr-FR"/>
        </w:rPr>
        <w:t xml:space="preserve">Le 15 novembre 2007, le tribunal ordonna </w:t>
      </w:r>
      <w:r w:rsidR="00A46647" w:rsidRPr="00E267AB">
        <w:rPr>
          <w:lang w:val="fr-FR"/>
        </w:rPr>
        <w:t xml:space="preserve">la tenue de </w:t>
      </w:r>
      <w:r w:rsidR="00B2535F" w:rsidRPr="00E267AB">
        <w:rPr>
          <w:lang w:val="fr-FR"/>
        </w:rPr>
        <w:t xml:space="preserve">rencontres </w:t>
      </w:r>
      <w:r w:rsidR="00B41FA9" w:rsidRPr="00E267AB">
        <w:rPr>
          <w:lang w:val="fr-FR"/>
        </w:rPr>
        <w:t xml:space="preserve">en milieu protégé </w:t>
      </w:r>
      <w:r w:rsidR="00B2535F" w:rsidRPr="00E267AB">
        <w:rPr>
          <w:lang w:val="fr-FR"/>
        </w:rPr>
        <w:t>entre le requérant et sa fille.</w:t>
      </w:r>
    </w:p>
    <w:p w:rsidR="00B2535F" w:rsidRPr="00E267AB" w:rsidRDefault="00475A69"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8</w:t>
      </w:r>
      <w:r w:rsidRPr="00E267AB">
        <w:rPr>
          <w:lang w:val="fr-FR"/>
        </w:rPr>
        <w:fldChar w:fldCharType="end"/>
      </w:r>
      <w:r w:rsidRPr="00E267AB">
        <w:rPr>
          <w:lang w:val="fr-FR"/>
        </w:rPr>
        <w:t>.  </w:t>
      </w:r>
      <w:r w:rsidR="00B76F22" w:rsidRPr="00E267AB">
        <w:rPr>
          <w:lang w:val="fr-FR"/>
        </w:rPr>
        <w:t>Entre-temps, l</w:t>
      </w:r>
      <w:r w:rsidR="00B2535F" w:rsidRPr="00E267AB">
        <w:rPr>
          <w:lang w:val="fr-FR"/>
        </w:rPr>
        <w:t>es 21 septembre, 1</w:t>
      </w:r>
      <w:r w:rsidR="00B2535F" w:rsidRPr="00E267AB">
        <w:rPr>
          <w:vertAlign w:val="superscript"/>
          <w:lang w:val="fr-FR"/>
        </w:rPr>
        <w:t>er</w:t>
      </w:r>
      <w:r w:rsidR="00B2535F" w:rsidRPr="00E267AB">
        <w:rPr>
          <w:lang w:val="fr-FR"/>
        </w:rPr>
        <w:t xml:space="preserve"> octobre et 2 novembre 2007, le requérant</w:t>
      </w:r>
      <w:r w:rsidR="00B76F22" w:rsidRPr="00E267AB">
        <w:rPr>
          <w:lang w:val="fr-FR"/>
        </w:rPr>
        <w:t>, qui se plaignait d</w:t>
      </w:r>
      <w:r w:rsidR="00E267AB" w:rsidRPr="00E267AB">
        <w:rPr>
          <w:lang w:val="fr-FR"/>
        </w:rPr>
        <w:t>’</w:t>
      </w:r>
      <w:r w:rsidR="00B76F22" w:rsidRPr="00E267AB">
        <w:rPr>
          <w:lang w:val="fr-FR"/>
        </w:rPr>
        <w:t xml:space="preserve">un refus de N.R. de faire vacciner </w:t>
      </w:r>
      <w:r w:rsidR="00741164" w:rsidRPr="00E267AB">
        <w:rPr>
          <w:lang w:val="fr-FR"/>
        </w:rPr>
        <w:t>leu</w:t>
      </w:r>
      <w:r w:rsidR="00C238A8" w:rsidRPr="00E267AB">
        <w:rPr>
          <w:lang w:val="fr-FR"/>
        </w:rPr>
        <w:t>r</w:t>
      </w:r>
      <w:r w:rsidR="00741164" w:rsidRPr="00E267AB">
        <w:rPr>
          <w:lang w:val="fr-FR"/>
        </w:rPr>
        <w:t xml:space="preserve"> fille</w:t>
      </w:r>
      <w:r w:rsidR="00B76F22" w:rsidRPr="00E267AB">
        <w:rPr>
          <w:lang w:val="fr-FR"/>
        </w:rPr>
        <w:t>, avait</w:t>
      </w:r>
      <w:r w:rsidR="00B2535F" w:rsidRPr="00E267AB">
        <w:rPr>
          <w:lang w:val="fr-FR"/>
        </w:rPr>
        <w:t xml:space="preserve"> </w:t>
      </w:r>
      <w:r w:rsidR="00B76F22" w:rsidRPr="00E267AB">
        <w:rPr>
          <w:lang w:val="fr-FR"/>
        </w:rPr>
        <w:t>saisi le</w:t>
      </w:r>
      <w:r w:rsidR="00B2535F" w:rsidRPr="00E267AB">
        <w:rPr>
          <w:lang w:val="fr-FR"/>
        </w:rPr>
        <w:t xml:space="preserve"> tribunal pour enfants </w:t>
      </w:r>
      <w:r w:rsidR="00A46647" w:rsidRPr="00E267AB">
        <w:rPr>
          <w:lang w:val="fr-FR"/>
        </w:rPr>
        <w:t>d</w:t>
      </w:r>
      <w:r w:rsidR="00E267AB" w:rsidRPr="00E267AB">
        <w:rPr>
          <w:lang w:val="fr-FR"/>
        </w:rPr>
        <w:t>’</w:t>
      </w:r>
      <w:r w:rsidR="00B76F22" w:rsidRPr="00E267AB">
        <w:rPr>
          <w:lang w:val="fr-FR"/>
        </w:rPr>
        <w:t xml:space="preserve">une demande visant à ce que </w:t>
      </w:r>
      <w:r w:rsidR="00B2535F" w:rsidRPr="00E267AB">
        <w:rPr>
          <w:lang w:val="fr-FR"/>
        </w:rPr>
        <w:t>la vaccination</w:t>
      </w:r>
      <w:r w:rsidR="00465382" w:rsidRPr="00E267AB">
        <w:rPr>
          <w:lang w:val="fr-FR"/>
        </w:rPr>
        <w:t xml:space="preserve"> de</w:t>
      </w:r>
      <w:r w:rsidR="00B21E1F" w:rsidRPr="00E267AB">
        <w:rPr>
          <w:lang w:val="fr-FR"/>
        </w:rPr>
        <w:t xml:space="preserve"> </w:t>
      </w:r>
      <w:r w:rsidR="00741164" w:rsidRPr="00E267AB">
        <w:rPr>
          <w:lang w:val="fr-FR"/>
        </w:rPr>
        <w:t>S.</w:t>
      </w:r>
      <w:r w:rsidR="00B76F22" w:rsidRPr="00E267AB">
        <w:rPr>
          <w:lang w:val="fr-FR"/>
        </w:rPr>
        <w:t xml:space="preserve"> fût ordonnée.</w:t>
      </w:r>
    </w:p>
    <w:p w:rsidR="00B2535F" w:rsidRPr="00E267AB" w:rsidRDefault="00475A69"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9</w:t>
      </w:r>
      <w:r w:rsidRPr="00E267AB">
        <w:rPr>
          <w:lang w:val="fr-FR"/>
        </w:rPr>
        <w:fldChar w:fldCharType="end"/>
      </w:r>
      <w:r w:rsidRPr="00E267AB">
        <w:rPr>
          <w:lang w:val="fr-FR"/>
        </w:rPr>
        <w:t>.  </w:t>
      </w:r>
      <w:r w:rsidR="00B2535F" w:rsidRPr="00E267AB">
        <w:rPr>
          <w:lang w:val="fr-FR"/>
        </w:rPr>
        <w:t>Le 27 novembre 2007, le tribunal ordonna aux services sociaux de Pise d</w:t>
      </w:r>
      <w:r w:rsidR="00E267AB" w:rsidRPr="00E267AB">
        <w:rPr>
          <w:lang w:val="fr-FR"/>
        </w:rPr>
        <w:t>’</w:t>
      </w:r>
      <w:r w:rsidR="00B2535F" w:rsidRPr="00E267AB">
        <w:rPr>
          <w:lang w:val="fr-FR"/>
        </w:rPr>
        <w:t>organiser les rencontre</w:t>
      </w:r>
      <w:r w:rsidR="00A46647" w:rsidRPr="00E267AB">
        <w:rPr>
          <w:lang w:val="fr-FR"/>
        </w:rPr>
        <w:t>s</w:t>
      </w:r>
      <w:r w:rsidR="00B2535F" w:rsidRPr="00E267AB">
        <w:rPr>
          <w:lang w:val="fr-FR"/>
        </w:rPr>
        <w:t xml:space="preserve"> </w:t>
      </w:r>
      <w:r w:rsidR="00B41FA9" w:rsidRPr="00E267AB">
        <w:rPr>
          <w:lang w:val="fr-FR"/>
        </w:rPr>
        <w:t xml:space="preserve">en milieu protégé </w:t>
      </w:r>
      <w:r w:rsidR="00B2535F" w:rsidRPr="00E267AB">
        <w:rPr>
          <w:lang w:val="fr-FR"/>
        </w:rPr>
        <w:t>entre le requérant et S. et d</w:t>
      </w:r>
      <w:r w:rsidR="00E267AB" w:rsidRPr="00E267AB">
        <w:rPr>
          <w:lang w:val="fr-FR"/>
        </w:rPr>
        <w:t>’</w:t>
      </w:r>
      <w:r w:rsidR="00B2535F" w:rsidRPr="00E267AB">
        <w:rPr>
          <w:lang w:val="fr-FR"/>
        </w:rPr>
        <w:t>évaluer les capacités parentales du requérant et de N.R.</w:t>
      </w:r>
    </w:p>
    <w:p w:rsidR="00B2535F" w:rsidRPr="00E267AB" w:rsidRDefault="00475A69"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10</w:t>
      </w:r>
      <w:r w:rsidRPr="00E267AB">
        <w:rPr>
          <w:lang w:val="fr-FR"/>
        </w:rPr>
        <w:fldChar w:fldCharType="end"/>
      </w:r>
      <w:r w:rsidRPr="00E267AB">
        <w:rPr>
          <w:lang w:val="fr-FR"/>
        </w:rPr>
        <w:t>.  </w:t>
      </w:r>
      <w:r w:rsidR="00B2535F" w:rsidRPr="00E267AB">
        <w:rPr>
          <w:lang w:val="fr-FR"/>
        </w:rPr>
        <w:t xml:space="preserve">Selon le rapport </w:t>
      </w:r>
      <w:r w:rsidR="00A46647" w:rsidRPr="00E267AB">
        <w:rPr>
          <w:lang w:val="fr-FR"/>
        </w:rPr>
        <w:t>remis</w:t>
      </w:r>
      <w:r w:rsidR="00B2535F" w:rsidRPr="00E267AB">
        <w:rPr>
          <w:lang w:val="fr-FR"/>
        </w:rPr>
        <w:t xml:space="preserve"> par les services sociaux</w:t>
      </w:r>
      <w:r w:rsidR="00A93C09" w:rsidRPr="00E267AB">
        <w:rPr>
          <w:lang w:val="fr-FR"/>
        </w:rPr>
        <w:t xml:space="preserve"> le 18 février 2008</w:t>
      </w:r>
      <w:r w:rsidR="00B2535F" w:rsidRPr="00E267AB">
        <w:rPr>
          <w:lang w:val="fr-FR"/>
        </w:rPr>
        <w:t xml:space="preserve">, </w:t>
      </w:r>
      <w:r w:rsidR="00A013D3" w:rsidRPr="00E267AB">
        <w:rPr>
          <w:lang w:val="fr-FR"/>
        </w:rPr>
        <w:t>il existait un</w:t>
      </w:r>
      <w:r w:rsidR="00B2535F" w:rsidRPr="00E267AB">
        <w:rPr>
          <w:lang w:val="fr-FR"/>
        </w:rPr>
        <w:t xml:space="preserve"> lien </w:t>
      </w:r>
      <w:r w:rsidR="00A013D3" w:rsidRPr="00E267AB">
        <w:rPr>
          <w:lang w:val="fr-FR"/>
        </w:rPr>
        <w:t xml:space="preserve">fort </w:t>
      </w:r>
      <w:r w:rsidR="00B2535F" w:rsidRPr="00E267AB">
        <w:rPr>
          <w:lang w:val="fr-FR"/>
        </w:rPr>
        <w:t>entre le requérant et S.</w:t>
      </w:r>
      <w:r w:rsidR="00A46647" w:rsidRPr="00E267AB">
        <w:rPr>
          <w:lang w:val="fr-FR"/>
        </w:rPr>
        <w:t>, celle-ci se montrant</w:t>
      </w:r>
      <w:r w:rsidR="00B2535F" w:rsidRPr="00E267AB">
        <w:rPr>
          <w:lang w:val="fr-FR"/>
        </w:rPr>
        <w:t xml:space="preserve"> heureuse de rencontrer </w:t>
      </w:r>
      <w:r w:rsidR="00A46647" w:rsidRPr="00E267AB">
        <w:rPr>
          <w:lang w:val="fr-FR"/>
        </w:rPr>
        <w:t xml:space="preserve">son père </w:t>
      </w:r>
      <w:r w:rsidR="00B2535F" w:rsidRPr="00E267AB">
        <w:rPr>
          <w:lang w:val="fr-FR"/>
        </w:rPr>
        <w:t xml:space="preserve">et de jouer avec lui. </w:t>
      </w:r>
      <w:r w:rsidR="00A013D3" w:rsidRPr="00E267AB">
        <w:rPr>
          <w:lang w:val="fr-FR"/>
        </w:rPr>
        <w:t>D</w:t>
      </w:r>
      <w:r w:rsidR="00E267AB" w:rsidRPr="00E267AB">
        <w:rPr>
          <w:lang w:val="fr-FR"/>
        </w:rPr>
        <w:t>’</w:t>
      </w:r>
      <w:r w:rsidR="00A013D3" w:rsidRPr="00E267AB">
        <w:rPr>
          <w:lang w:val="fr-FR"/>
        </w:rPr>
        <w:t>après</w:t>
      </w:r>
      <w:r w:rsidR="00B2535F" w:rsidRPr="00E267AB">
        <w:rPr>
          <w:lang w:val="fr-FR"/>
        </w:rPr>
        <w:t xml:space="preserve"> les services sociaux, il fallait intervenir de manière urgente afin de préserver le lien entre S. et le requérant, en élargissant </w:t>
      </w:r>
      <w:r w:rsidR="00A46647" w:rsidRPr="00E267AB">
        <w:rPr>
          <w:lang w:val="fr-FR"/>
        </w:rPr>
        <w:t>le</w:t>
      </w:r>
      <w:r w:rsidR="00B2535F" w:rsidRPr="00E267AB">
        <w:rPr>
          <w:lang w:val="fr-FR"/>
        </w:rPr>
        <w:t xml:space="preserve"> droit de visite </w:t>
      </w:r>
      <w:r w:rsidR="00A46647" w:rsidRPr="00E267AB">
        <w:rPr>
          <w:lang w:val="fr-FR"/>
        </w:rPr>
        <w:t xml:space="preserve">de ce dernier, </w:t>
      </w:r>
      <w:r w:rsidR="00CB5FDD" w:rsidRPr="00E267AB">
        <w:rPr>
          <w:lang w:val="fr-FR"/>
        </w:rPr>
        <w:t>en raison d</w:t>
      </w:r>
      <w:r w:rsidR="00E267AB" w:rsidRPr="00E267AB">
        <w:rPr>
          <w:lang w:val="fr-FR"/>
        </w:rPr>
        <w:t>’</w:t>
      </w:r>
      <w:r w:rsidR="00CB5FDD" w:rsidRPr="00E267AB">
        <w:rPr>
          <w:lang w:val="fr-FR"/>
        </w:rPr>
        <w:t>une opposition de</w:t>
      </w:r>
      <w:r w:rsidR="00B2535F" w:rsidRPr="00E267AB">
        <w:rPr>
          <w:lang w:val="fr-FR"/>
        </w:rPr>
        <w:t xml:space="preserve"> N.R. aux rencontres.</w:t>
      </w:r>
    </w:p>
    <w:p w:rsidR="00B2535F" w:rsidRPr="00E267AB" w:rsidRDefault="00475A69"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11</w:t>
      </w:r>
      <w:r w:rsidRPr="00E267AB">
        <w:rPr>
          <w:lang w:val="fr-FR"/>
        </w:rPr>
        <w:fldChar w:fldCharType="end"/>
      </w:r>
      <w:r w:rsidRPr="00E267AB">
        <w:rPr>
          <w:lang w:val="fr-FR"/>
        </w:rPr>
        <w:t>.  </w:t>
      </w:r>
      <w:r w:rsidR="00B2535F" w:rsidRPr="00E267AB">
        <w:rPr>
          <w:lang w:val="fr-FR"/>
        </w:rPr>
        <w:t>Entre-temps, en 2007, le requérant avait demandé la séparation de corps et la garde exclusive de S. au tribunal de Pise.</w:t>
      </w:r>
    </w:p>
    <w:p w:rsidR="00B21E1F" w:rsidRPr="00E267AB" w:rsidRDefault="00475A69"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12</w:t>
      </w:r>
      <w:r w:rsidRPr="00E267AB">
        <w:rPr>
          <w:lang w:val="fr-FR"/>
        </w:rPr>
        <w:fldChar w:fldCharType="end"/>
      </w:r>
      <w:r w:rsidRPr="00E267AB">
        <w:rPr>
          <w:lang w:val="fr-FR"/>
        </w:rPr>
        <w:t>.  </w:t>
      </w:r>
      <w:r w:rsidR="00B2535F" w:rsidRPr="00E267AB">
        <w:rPr>
          <w:lang w:val="fr-FR"/>
        </w:rPr>
        <w:t xml:space="preserve">Au cours de la première audience devant le </w:t>
      </w:r>
      <w:r w:rsidR="001922C0" w:rsidRPr="00E267AB">
        <w:rPr>
          <w:lang w:val="fr-FR"/>
        </w:rPr>
        <w:t>p</w:t>
      </w:r>
      <w:r w:rsidR="00B2535F" w:rsidRPr="00E267AB">
        <w:rPr>
          <w:lang w:val="fr-FR"/>
        </w:rPr>
        <w:t xml:space="preserve">résident du tribunal de Pise pour la </w:t>
      </w:r>
      <w:r w:rsidR="001922C0" w:rsidRPr="00E267AB">
        <w:rPr>
          <w:lang w:val="fr-FR"/>
        </w:rPr>
        <w:t xml:space="preserve">procédure de </w:t>
      </w:r>
      <w:r w:rsidR="00B2535F" w:rsidRPr="00E267AB">
        <w:rPr>
          <w:lang w:val="fr-FR"/>
        </w:rPr>
        <w:t>séparation de corps</w:t>
      </w:r>
      <w:r w:rsidR="001922C0" w:rsidRPr="00E267AB">
        <w:rPr>
          <w:lang w:val="fr-FR"/>
        </w:rPr>
        <w:t>, tenue</w:t>
      </w:r>
      <w:r w:rsidR="00B2535F" w:rsidRPr="00E267AB">
        <w:rPr>
          <w:lang w:val="fr-FR"/>
        </w:rPr>
        <w:t xml:space="preserve"> le 3 mars 2008, la question de la compétence du tribunal pour enfants </w:t>
      </w:r>
      <w:r w:rsidR="007C5B16" w:rsidRPr="00E267AB">
        <w:rPr>
          <w:lang w:val="fr-FR"/>
        </w:rPr>
        <w:t xml:space="preserve">de Florence </w:t>
      </w:r>
      <w:r w:rsidR="00B2535F" w:rsidRPr="00E267AB">
        <w:rPr>
          <w:lang w:val="fr-FR"/>
        </w:rPr>
        <w:t>fut soulevée.</w:t>
      </w:r>
    </w:p>
    <w:p w:rsidR="00B2535F" w:rsidRPr="00E267AB" w:rsidRDefault="00475A69"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13</w:t>
      </w:r>
      <w:r w:rsidRPr="00E267AB">
        <w:rPr>
          <w:lang w:val="fr-FR"/>
        </w:rPr>
        <w:fldChar w:fldCharType="end"/>
      </w:r>
      <w:r w:rsidRPr="00E267AB">
        <w:rPr>
          <w:lang w:val="fr-FR"/>
        </w:rPr>
        <w:t>.  </w:t>
      </w:r>
      <w:r w:rsidR="00B2535F" w:rsidRPr="00E267AB">
        <w:rPr>
          <w:lang w:val="fr-FR"/>
        </w:rPr>
        <w:t>Le 12 mars 2008, les services sociaux déposèrent un rapport devant le tribunal pour enfants de Florence</w:t>
      </w:r>
      <w:r w:rsidR="001922C0" w:rsidRPr="00E267AB">
        <w:rPr>
          <w:lang w:val="fr-FR"/>
        </w:rPr>
        <w:t xml:space="preserve">. Il ressortait de ce document que </w:t>
      </w:r>
      <w:r w:rsidR="00B2535F" w:rsidRPr="00E267AB">
        <w:rPr>
          <w:lang w:val="fr-FR"/>
        </w:rPr>
        <w:t>S. n</w:t>
      </w:r>
      <w:r w:rsidR="00E267AB" w:rsidRPr="00E267AB">
        <w:rPr>
          <w:lang w:val="fr-FR"/>
        </w:rPr>
        <w:t>’</w:t>
      </w:r>
      <w:r w:rsidR="00B2535F" w:rsidRPr="00E267AB">
        <w:rPr>
          <w:lang w:val="fr-FR"/>
        </w:rPr>
        <w:t xml:space="preserve">avait pas pu rencontrer son père </w:t>
      </w:r>
      <w:r w:rsidR="00CB5FDD" w:rsidRPr="00E267AB">
        <w:rPr>
          <w:lang w:val="fr-FR"/>
        </w:rPr>
        <w:t>en raison</w:t>
      </w:r>
      <w:r w:rsidR="00B2535F" w:rsidRPr="00E267AB">
        <w:rPr>
          <w:lang w:val="fr-FR"/>
        </w:rPr>
        <w:t xml:space="preserve"> d</w:t>
      </w:r>
      <w:r w:rsidR="00E267AB" w:rsidRPr="00E267AB">
        <w:rPr>
          <w:lang w:val="fr-FR"/>
        </w:rPr>
        <w:t>’</w:t>
      </w:r>
      <w:r w:rsidR="00CB5FDD" w:rsidRPr="00E267AB">
        <w:rPr>
          <w:lang w:val="fr-FR"/>
        </w:rPr>
        <w:t xml:space="preserve">une </w:t>
      </w:r>
      <w:r w:rsidR="00B2535F" w:rsidRPr="00E267AB">
        <w:rPr>
          <w:lang w:val="fr-FR"/>
        </w:rPr>
        <w:t>opposition de N.R.</w:t>
      </w:r>
      <w:r w:rsidR="00CB5FDD" w:rsidRPr="00E267AB">
        <w:rPr>
          <w:lang w:val="fr-FR"/>
        </w:rPr>
        <w:t xml:space="preserve">, </w:t>
      </w:r>
      <w:r w:rsidR="001922C0" w:rsidRPr="00E267AB">
        <w:rPr>
          <w:lang w:val="fr-FR"/>
        </w:rPr>
        <w:t>qu</w:t>
      </w:r>
      <w:r w:rsidR="00E267AB" w:rsidRPr="00E267AB">
        <w:rPr>
          <w:lang w:val="fr-FR"/>
        </w:rPr>
        <w:t>’</w:t>
      </w:r>
      <w:r w:rsidR="001922C0" w:rsidRPr="00E267AB">
        <w:rPr>
          <w:lang w:val="fr-FR"/>
        </w:rPr>
        <w:t>elle-même manifestait désormais</w:t>
      </w:r>
      <w:r w:rsidR="00B2535F" w:rsidRPr="00E267AB">
        <w:rPr>
          <w:lang w:val="fr-FR"/>
        </w:rPr>
        <w:t xml:space="preserve"> </w:t>
      </w:r>
      <w:r w:rsidR="00CB5FDD" w:rsidRPr="00E267AB">
        <w:rPr>
          <w:lang w:val="fr-FR"/>
        </w:rPr>
        <w:t xml:space="preserve">un comportement hostile </w:t>
      </w:r>
      <w:r w:rsidR="00B2535F" w:rsidRPr="00E267AB">
        <w:rPr>
          <w:lang w:val="fr-FR"/>
        </w:rPr>
        <w:t xml:space="preserve">envers </w:t>
      </w:r>
      <w:r w:rsidR="001922C0" w:rsidRPr="00E267AB">
        <w:rPr>
          <w:lang w:val="fr-FR"/>
        </w:rPr>
        <w:t>l</w:t>
      </w:r>
      <w:r w:rsidR="00E267AB" w:rsidRPr="00E267AB">
        <w:rPr>
          <w:lang w:val="fr-FR"/>
        </w:rPr>
        <w:t>’</w:t>
      </w:r>
      <w:r w:rsidR="001922C0" w:rsidRPr="00E267AB">
        <w:rPr>
          <w:lang w:val="fr-FR"/>
        </w:rPr>
        <w:t xml:space="preserve">intéressé et que </w:t>
      </w:r>
      <w:r w:rsidR="00B2535F" w:rsidRPr="00E267AB">
        <w:rPr>
          <w:lang w:val="fr-FR"/>
        </w:rPr>
        <w:t>N.R. n</w:t>
      </w:r>
      <w:r w:rsidR="00E267AB" w:rsidRPr="00E267AB">
        <w:rPr>
          <w:lang w:val="fr-FR"/>
        </w:rPr>
        <w:t>’</w:t>
      </w:r>
      <w:r w:rsidR="00B2535F" w:rsidRPr="00E267AB">
        <w:rPr>
          <w:lang w:val="fr-FR"/>
        </w:rPr>
        <w:t xml:space="preserve">aidait pas sa fille à surmonter ses difficultés avec </w:t>
      </w:r>
      <w:r w:rsidR="00A013D3" w:rsidRPr="00E267AB">
        <w:rPr>
          <w:lang w:val="fr-FR"/>
        </w:rPr>
        <w:t>celui-ci</w:t>
      </w:r>
      <w:r w:rsidR="00B2535F" w:rsidRPr="00E267AB">
        <w:rPr>
          <w:lang w:val="fr-FR"/>
        </w:rPr>
        <w:t>. Les services sociaux demand</w:t>
      </w:r>
      <w:r w:rsidR="001922C0" w:rsidRPr="00E267AB">
        <w:rPr>
          <w:lang w:val="fr-FR"/>
        </w:rPr>
        <w:t>aient</w:t>
      </w:r>
      <w:r w:rsidR="00B2535F" w:rsidRPr="00E267AB">
        <w:rPr>
          <w:lang w:val="fr-FR"/>
        </w:rPr>
        <w:t xml:space="preserve"> au tribunal l</w:t>
      </w:r>
      <w:r w:rsidR="00E267AB" w:rsidRPr="00E267AB">
        <w:rPr>
          <w:lang w:val="fr-FR"/>
        </w:rPr>
        <w:t>’</w:t>
      </w:r>
      <w:r w:rsidR="00B2535F" w:rsidRPr="00E267AB">
        <w:rPr>
          <w:lang w:val="fr-FR"/>
        </w:rPr>
        <w:t>adoption de mesures concrètes afin de favoriser le</w:t>
      </w:r>
      <w:r w:rsidR="001922C0" w:rsidRPr="00E267AB">
        <w:rPr>
          <w:lang w:val="fr-FR"/>
        </w:rPr>
        <w:t>s</w:t>
      </w:r>
      <w:r w:rsidR="00B2535F" w:rsidRPr="00E267AB">
        <w:rPr>
          <w:lang w:val="fr-FR"/>
        </w:rPr>
        <w:t xml:space="preserve"> </w:t>
      </w:r>
      <w:r w:rsidR="001922C0" w:rsidRPr="00E267AB">
        <w:rPr>
          <w:lang w:val="fr-FR"/>
        </w:rPr>
        <w:t>relations</w:t>
      </w:r>
      <w:r w:rsidR="00B2535F" w:rsidRPr="00E267AB">
        <w:rPr>
          <w:lang w:val="fr-FR"/>
        </w:rPr>
        <w:t xml:space="preserve"> entre le requérant et S.</w:t>
      </w:r>
    </w:p>
    <w:p w:rsidR="00B2535F" w:rsidRPr="00E267AB" w:rsidRDefault="00475A69"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14</w:t>
      </w:r>
      <w:r w:rsidRPr="00E267AB">
        <w:rPr>
          <w:lang w:val="fr-FR"/>
        </w:rPr>
        <w:fldChar w:fldCharType="end"/>
      </w:r>
      <w:r w:rsidRPr="00E267AB">
        <w:rPr>
          <w:lang w:val="fr-FR"/>
        </w:rPr>
        <w:t>.  </w:t>
      </w:r>
      <w:r w:rsidR="00B2535F" w:rsidRPr="00E267AB">
        <w:rPr>
          <w:lang w:val="fr-FR"/>
        </w:rPr>
        <w:t>Le 8 avril 2008, le tribunal pour enfants de Florence déclara son incompétence. Il transféra le dossier au tribunal de Pise.</w:t>
      </w:r>
    </w:p>
    <w:p w:rsidR="00B2535F" w:rsidRPr="00E267AB" w:rsidRDefault="00475A69"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15</w:t>
      </w:r>
      <w:r w:rsidRPr="00E267AB">
        <w:rPr>
          <w:lang w:val="fr-FR"/>
        </w:rPr>
        <w:fldChar w:fldCharType="end"/>
      </w:r>
      <w:r w:rsidRPr="00E267AB">
        <w:rPr>
          <w:lang w:val="fr-FR"/>
        </w:rPr>
        <w:t>.  </w:t>
      </w:r>
      <w:r w:rsidR="00B2535F" w:rsidRPr="00E267AB">
        <w:rPr>
          <w:lang w:val="fr-FR"/>
        </w:rPr>
        <w:t xml:space="preserve">Le 11 avril 2008, une deuxième audience eut lieu devant le </w:t>
      </w:r>
      <w:r w:rsidR="0051158F" w:rsidRPr="00E267AB">
        <w:rPr>
          <w:lang w:val="fr-FR"/>
        </w:rPr>
        <w:t>p</w:t>
      </w:r>
      <w:r w:rsidR="00B2535F" w:rsidRPr="00E267AB">
        <w:rPr>
          <w:lang w:val="fr-FR"/>
        </w:rPr>
        <w:t xml:space="preserve">résident du tribunal de Pise. </w:t>
      </w:r>
      <w:r w:rsidR="0051158F" w:rsidRPr="00E267AB">
        <w:rPr>
          <w:lang w:val="fr-FR"/>
        </w:rPr>
        <w:t>Celui-ci</w:t>
      </w:r>
      <w:r w:rsidR="00B2535F" w:rsidRPr="00E267AB">
        <w:rPr>
          <w:lang w:val="fr-FR"/>
        </w:rPr>
        <w:t xml:space="preserve"> chargea les services sociaux de Piombino </w:t>
      </w:r>
      <w:r w:rsidR="00B2535F" w:rsidRPr="00E267AB">
        <w:rPr>
          <w:lang w:val="fr-FR"/>
        </w:rPr>
        <w:lastRenderedPageBreak/>
        <w:t>d</w:t>
      </w:r>
      <w:r w:rsidR="00E267AB" w:rsidRPr="00E267AB">
        <w:rPr>
          <w:lang w:val="fr-FR"/>
        </w:rPr>
        <w:t>’</w:t>
      </w:r>
      <w:r w:rsidR="00B2535F" w:rsidRPr="00E267AB">
        <w:rPr>
          <w:lang w:val="fr-FR"/>
        </w:rPr>
        <w:t xml:space="preserve">organiser des rencontres </w:t>
      </w:r>
      <w:r w:rsidR="00B41FA9" w:rsidRPr="00E267AB">
        <w:rPr>
          <w:lang w:val="fr-FR"/>
        </w:rPr>
        <w:t xml:space="preserve">en milieu protégé </w:t>
      </w:r>
      <w:r w:rsidR="00B2535F" w:rsidRPr="00E267AB">
        <w:rPr>
          <w:lang w:val="fr-FR"/>
        </w:rPr>
        <w:t>entre le père et</w:t>
      </w:r>
      <w:r w:rsidR="0051158F" w:rsidRPr="00E267AB">
        <w:rPr>
          <w:lang w:val="fr-FR"/>
        </w:rPr>
        <w:t xml:space="preserve"> sa fille </w:t>
      </w:r>
      <w:r w:rsidR="00B2535F" w:rsidRPr="00E267AB">
        <w:rPr>
          <w:lang w:val="fr-FR"/>
        </w:rPr>
        <w:t xml:space="preserve">et des rencontres </w:t>
      </w:r>
      <w:r w:rsidR="00B41FA9" w:rsidRPr="00E267AB">
        <w:rPr>
          <w:lang w:val="fr-FR"/>
        </w:rPr>
        <w:t xml:space="preserve">en milieu </w:t>
      </w:r>
      <w:r w:rsidR="00B2535F" w:rsidRPr="00E267AB">
        <w:rPr>
          <w:lang w:val="fr-FR"/>
        </w:rPr>
        <w:t xml:space="preserve">non protégé </w:t>
      </w:r>
      <w:r w:rsidR="0051158F" w:rsidRPr="00E267AB">
        <w:rPr>
          <w:lang w:val="fr-FR"/>
        </w:rPr>
        <w:t>entre</w:t>
      </w:r>
      <w:r w:rsidR="00B2535F" w:rsidRPr="00E267AB">
        <w:rPr>
          <w:lang w:val="fr-FR"/>
        </w:rPr>
        <w:t xml:space="preserve"> les grands-parents paternels</w:t>
      </w:r>
      <w:r w:rsidR="0051158F" w:rsidRPr="00E267AB">
        <w:rPr>
          <w:lang w:val="fr-FR"/>
        </w:rPr>
        <w:t xml:space="preserve"> et l</w:t>
      </w:r>
      <w:r w:rsidR="00E267AB" w:rsidRPr="00E267AB">
        <w:rPr>
          <w:lang w:val="fr-FR"/>
        </w:rPr>
        <w:t>’</w:t>
      </w:r>
      <w:r w:rsidR="0051158F" w:rsidRPr="00E267AB">
        <w:rPr>
          <w:lang w:val="fr-FR"/>
        </w:rPr>
        <w:t>enfant</w:t>
      </w:r>
      <w:r w:rsidR="00B2535F" w:rsidRPr="00E267AB">
        <w:rPr>
          <w:lang w:val="fr-FR"/>
        </w:rPr>
        <w:t>.</w:t>
      </w:r>
    </w:p>
    <w:p w:rsidR="00B2535F" w:rsidRPr="00E267AB" w:rsidRDefault="00475A69"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16</w:t>
      </w:r>
      <w:r w:rsidRPr="00E267AB">
        <w:rPr>
          <w:lang w:val="fr-FR"/>
        </w:rPr>
        <w:fldChar w:fldCharType="end"/>
      </w:r>
      <w:r w:rsidRPr="00E267AB">
        <w:rPr>
          <w:lang w:val="fr-FR"/>
        </w:rPr>
        <w:t>.  </w:t>
      </w:r>
      <w:r w:rsidR="00B2535F" w:rsidRPr="00E267AB">
        <w:rPr>
          <w:lang w:val="fr-FR"/>
        </w:rPr>
        <w:t>Ces prescriptions ne furent pas respectées</w:t>
      </w:r>
      <w:r w:rsidR="0051158F" w:rsidRPr="00E267AB">
        <w:rPr>
          <w:lang w:val="fr-FR"/>
        </w:rPr>
        <w:t> ; l</w:t>
      </w:r>
      <w:r w:rsidR="00B2535F" w:rsidRPr="00E267AB">
        <w:rPr>
          <w:lang w:val="fr-FR"/>
        </w:rPr>
        <w:t xml:space="preserve">e requérant put rencontrer S. seulement </w:t>
      </w:r>
      <w:r w:rsidR="0051158F" w:rsidRPr="00E267AB">
        <w:rPr>
          <w:lang w:val="fr-FR"/>
        </w:rPr>
        <w:t xml:space="preserve">à </w:t>
      </w:r>
      <w:r w:rsidR="00B2535F" w:rsidRPr="00E267AB">
        <w:rPr>
          <w:lang w:val="fr-FR"/>
        </w:rPr>
        <w:t xml:space="preserve">quelques </w:t>
      </w:r>
      <w:r w:rsidR="0051158F" w:rsidRPr="00E267AB">
        <w:rPr>
          <w:lang w:val="fr-FR"/>
        </w:rPr>
        <w:t>reprises</w:t>
      </w:r>
      <w:r w:rsidR="00B2535F" w:rsidRPr="00E267AB">
        <w:rPr>
          <w:lang w:val="fr-FR"/>
        </w:rPr>
        <w:t xml:space="preserve"> dans des lieux publics.</w:t>
      </w:r>
    </w:p>
    <w:p w:rsidR="00B21E1F" w:rsidRPr="00E267AB" w:rsidRDefault="00475A69"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17</w:t>
      </w:r>
      <w:r w:rsidRPr="00E267AB">
        <w:rPr>
          <w:lang w:val="fr-FR"/>
        </w:rPr>
        <w:fldChar w:fldCharType="end"/>
      </w:r>
      <w:r w:rsidRPr="00E267AB">
        <w:rPr>
          <w:lang w:val="fr-FR"/>
        </w:rPr>
        <w:t>.  </w:t>
      </w:r>
      <w:r w:rsidR="00B2535F" w:rsidRPr="00E267AB">
        <w:rPr>
          <w:lang w:val="fr-FR"/>
        </w:rPr>
        <w:t>Le 30 juin 2008</w:t>
      </w:r>
      <w:r w:rsidR="00A20AE5" w:rsidRPr="00E267AB">
        <w:rPr>
          <w:lang w:val="fr-FR"/>
        </w:rPr>
        <w:t>, une</w:t>
      </w:r>
      <w:r w:rsidR="00B2535F" w:rsidRPr="00E267AB">
        <w:rPr>
          <w:lang w:val="fr-FR"/>
        </w:rPr>
        <w:t xml:space="preserve"> troisième audience </w:t>
      </w:r>
      <w:r w:rsidR="00A20AE5" w:rsidRPr="00E267AB">
        <w:rPr>
          <w:lang w:val="fr-FR"/>
        </w:rPr>
        <w:t xml:space="preserve">se déroula </w:t>
      </w:r>
      <w:r w:rsidR="00B2535F" w:rsidRPr="00E267AB">
        <w:rPr>
          <w:lang w:val="fr-FR"/>
        </w:rPr>
        <w:t xml:space="preserve">devant le </w:t>
      </w:r>
      <w:r w:rsidR="00A20AE5" w:rsidRPr="00E267AB">
        <w:rPr>
          <w:lang w:val="fr-FR"/>
        </w:rPr>
        <w:t>p</w:t>
      </w:r>
      <w:r w:rsidR="00B2535F" w:rsidRPr="00E267AB">
        <w:rPr>
          <w:lang w:val="fr-FR"/>
        </w:rPr>
        <w:t xml:space="preserve">résident du tribunal de Pise, lequel </w:t>
      </w:r>
      <w:r w:rsidR="00A20AE5" w:rsidRPr="00E267AB">
        <w:rPr>
          <w:lang w:val="fr-FR"/>
        </w:rPr>
        <w:t>décida à nouveau</w:t>
      </w:r>
      <w:r w:rsidR="00B2535F" w:rsidRPr="00E267AB">
        <w:rPr>
          <w:lang w:val="fr-FR"/>
        </w:rPr>
        <w:t xml:space="preserve"> que S. devait rencontrer plus souvent </w:t>
      </w:r>
      <w:r w:rsidR="001E0C4F" w:rsidRPr="00E267AB">
        <w:rPr>
          <w:lang w:val="fr-FR"/>
        </w:rPr>
        <w:t>son père</w:t>
      </w:r>
      <w:r w:rsidR="00B2535F" w:rsidRPr="00E267AB">
        <w:rPr>
          <w:lang w:val="fr-FR"/>
        </w:rPr>
        <w:t xml:space="preserve"> et </w:t>
      </w:r>
      <w:r w:rsidR="00B03E94" w:rsidRPr="00E267AB">
        <w:rPr>
          <w:lang w:val="fr-FR"/>
        </w:rPr>
        <w:t>s</w:t>
      </w:r>
      <w:r w:rsidR="00B2535F" w:rsidRPr="00E267AB">
        <w:rPr>
          <w:lang w:val="fr-FR"/>
        </w:rPr>
        <w:t>es grands-parents paternels.</w:t>
      </w:r>
    </w:p>
    <w:p w:rsidR="00B2535F" w:rsidRPr="00E267AB" w:rsidRDefault="00475A69"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18</w:t>
      </w:r>
      <w:r w:rsidRPr="00E267AB">
        <w:rPr>
          <w:lang w:val="fr-FR"/>
        </w:rPr>
        <w:fldChar w:fldCharType="end"/>
      </w:r>
      <w:r w:rsidRPr="00E267AB">
        <w:rPr>
          <w:lang w:val="fr-FR"/>
        </w:rPr>
        <w:t>.  </w:t>
      </w:r>
      <w:r w:rsidR="00B03E94" w:rsidRPr="00E267AB">
        <w:rPr>
          <w:lang w:val="fr-FR"/>
        </w:rPr>
        <w:t xml:space="preserve">Eu égard aux </w:t>
      </w:r>
      <w:r w:rsidR="00B2535F" w:rsidRPr="00E267AB">
        <w:rPr>
          <w:lang w:val="fr-FR"/>
        </w:rPr>
        <w:t>difficulté</w:t>
      </w:r>
      <w:r w:rsidR="00B03E94" w:rsidRPr="00E267AB">
        <w:rPr>
          <w:lang w:val="fr-FR"/>
        </w:rPr>
        <w:t xml:space="preserve">s rencontrées par le </w:t>
      </w:r>
      <w:r w:rsidR="00B2535F" w:rsidRPr="00E267AB">
        <w:rPr>
          <w:lang w:val="fr-FR"/>
        </w:rPr>
        <w:t>requérant dans l</w:t>
      </w:r>
      <w:r w:rsidR="00E267AB" w:rsidRPr="00E267AB">
        <w:rPr>
          <w:lang w:val="fr-FR"/>
        </w:rPr>
        <w:t>’</w:t>
      </w:r>
      <w:r w:rsidR="00B2535F" w:rsidRPr="00E267AB">
        <w:rPr>
          <w:lang w:val="fr-FR"/>
        </w:rPr>
        <w:t xml:space="preserve">exercice de son droit de visite, le 23 juillet 2008, </w:t>
      </w:r>
      <w:r w:rsidR="00B03E94" w:rsidRPr="00E267AB">
        <w:rPr>
          <w:lang w:val="fr-FR"/>
        </w:rPr>
        <w:t xml:space="preserve">le président du tribunal de Pise </w:t>
      </w:r>
      <w:r w:rsidR="00B2535F" w:rsidRPr="00E267AB">
        <w:rPr>
          <w:lang w:val="fr-FR"/>
        </w:rPr>
        <w:t>demanda aux services sociaux d</w:t>
      </w:r>
      <w:r w:rsidR="00E267AB" w:rsidRPr="00E267AB">
        <w:rPr>
          <w:lang w:val="fr-FR"/>
        </w:rPr>
        <w:t>’</w:t>
      </w:r>
      <w:r w:rsidR="00B2535F" w:rsidRPr="00E267AB">
        <w:rPr>
          <w:lang w:val="fr-FR"/>
        </w:rPr>
        <w:t>augmenter le nombre des rencontres.</w:t>
      </w:r>
    </w:p>
    <w:p w:rsidR="00B2535F" w:rsidRPr="00E267AB" w:rsidRDefault="00475A69"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19</w:t>
      </w:r>
      <w:r w:rsidRPr="00E267AB">
        <w:rPr>
          <w:lang w:val="fr-FR"/>
        </w:rPr>
        <w:fldChar w:fldCharType="end"/>
      </w:r>
      <w:r w:rsidRPr="00E267AB">
        <w:rPr>
          <w:lang w:val="fr-FR"/>
        </w:rPr>
        <w:t>.  </w:t>
      </w:r>
      <w:r w:rsidR="00B2535F" w:rsidRPr="00E267AB">
        <w:rPr>
          <w:lang w:val="fr-FR"/>
        </w:rPr>
        <w:t xml:space="preserve">Le 14 octobre 2008, </w:t>
      </w:r>
      <w:r w:rsidR="00B03E94" w:rsidRPr="00E267AB">
        <w:rPr>
          <w:lang w:val="fr-FR"/>
        </w:rPr>
        <w:t>il</w:t>
      </w:r>
      <w:r w:rsidR="00B2535F" w:rsidRPr="00E267AB">
        <w:rPr>
          <w:lang w:val="fr-FR"/>
        </w:rPr>
        <w:t xml:space="preserve"> confia la garde de l</w:t>
      </w:r>
      <w:r w:rsidR="00E267AB" w:rsidRPr="00E267AB">
        <w:rPr>
          <w:lang w:val="fr-FR"/>
        </w:rPr>
        <w:t>’</w:t>
      </w:r>
      <w:r w:rsidR="00B2535F" w:rsidRPr="00E267AB">
        <w:rPr>
          <w:lang w:val="fr-FR"/>
        </w:rPr>
        <w:t>enfant conjointement aux deux parents et fixa sa résidence chez N.R. Selon le rapport des services sociaux, lors des rencontres</w:t>
      </w:r>
      <w:r w:rsidR="00B03E94" w:rsidRPr="00E267AB">
        <w:rPr>
          <w:lang w:val="fr-FR"/>
        </w:rPr>
        <w:t>,</w:t>
      </w:r>
      <w:r w:rsidR="00B2535F" w:rsidRPr="00E267AB">
        <w:rPr>
          <w:lang w:val="fr-FR"/>
        </w:rPr>
        <w:t xml:space="preserve"> la mère était toujours présente et S. avait une attitude hostile et agressive envers le requérant. </w:t>
      </w:r>
      <w:r w:rsidR="00B03E94" w:rsidRPr="00E267AB">
        <w:rPr>
          <w:lang w:val="fr-FR"/>
        </w:rPr>
        <w:t>D</w:t>
      </w:r>
      <w:r w:rsidR="00E267AB" w:rsidRPr="00E267AB">
        <w:rPr>
          <w:lang w:val="fr-FR"/>
        </w:rPr>
        <w:t>’</w:t>
      </w:r>
      <w:r w:rsidR="00B03E94" w:rsidRPr="00E267AB">
        <w:rPr>
          <w:lang w:val="fr-FR"/>
        </w:rPr>
        <w:t xml:space="preserve">après </w:t>
      </w:r>
      <w:r w:rsidR="00B2535F" w:rsidRPr="00E267AB">
        <w:rPr>
          <w:lang w:val="fr-FR"/>
        </w:rPr>
        <w:t xml:space="preserve">les assistants sociaux, </w:t>
      </w:r>
      <w:r w:rsidR="00796016" w:rsidRPr="00E267AB">
        <w:rPr>
          <w:lang w:val="fr-FR"/>
        </w:rPr>
        <w:t>le</w:t>
      </w:r>
      <w:r w:rsidR="00B03E94" w:rsidRPr="00E267AB">
        <w:rPr>
          <w:lang w:val="fr-FR"/>
        </w:rPr>
        <w:t xml:space="preserve"> comportement</w:t>
      </w:r>
      <w:r w:rsidR="00796016" w:rsidRPr="00E267AB">
        <w:rPr>
          <w:lang w:val="fr-FR"/>
        </w:rPr>
        <w:t xml:space="preserve"> de</w:t>
      </w:r>
      <w:r w:rsidR="00B03E94" w:rsidRPr="00E267AB">
        <w:rPr>
          <w:lang w:val="fr-FR"/>
        </w:rPr>
        <w:t xml:space="preserve"> N.R. </w:t>
      </w:r>
      <w:r w:rsidR="00796016" w:rsidRPr="00E267AB">
        <w:rPr>
          <w:lang w:val="fr-FR"/>
        </w:rPr>
        <w:t>dénot</w:t>
      </w:r>
      <w:r w:rsidR="00B03E94" w:rsidRPr="00E267AB">
        <w:rPr>
          <w:lang w:val="fr-FR"/>
        </w:rPr>
        <w:t>ait</w:t>
      </w:r>
      <w:r w:rsidR="00B2535F" w:rsidRPr="00E267AB">
        <w:rPr>
          <w:lang w:val="fr-FR"/>
        </w:rPr>
        <w:t xml:space="preserve"> </w:t>
      </w:r>
      <w:r w:rsidR="00796016" w:rsidRPr="00E267AB">
        <w:rPr>
          <w:lang w:val="fr-FR"/>
        </w:rPr>
        <w:t>l</w:t>
      </w:r>
      <w:r w:rsidR="00E267AB" w:rsidRPr="00E267AB">
        <w:rPr>
          <w:lang w:val="fr-FR"/>
        </w:rPr>
        <w:t>’</w:t>
      </w:r>
      <w:r w:rsidR="00796016" w:rsidRPr="00E267AB">
        <w:rPr>
          <w:lang w:val="fr-FR"/>
        </w:rPr>
        <w:t>intention de cette dernière d</w:t>
      </w:r>
      <w:r w:rsidR="00E267AB" w:rsidRPr="00E267AB">
        <w:rPr>
          <w:lang w:val="fr-FR"/>
        </w:rPr>
        <w:t>’</w:t>
      </w:r>
      <w:r w:rsidR="00B2535F" w:rsidRPr="00E267AB">
        <w:rPr>
          <w:lang w:val="fr-FR"/>
        </w:rPr>
        <w:t>exclure le requérant de la vie de l</w:t>
      </w:r>
      <w:r w:rsidR="00E267AB" w:rsidRPr="00E267AB">
        <w:rPr>
          <w:lang w:val="fr-FR"/>
        </w:rPr>
        <w:t>’</w:t>
      </w:r>
      <w:r w:rsidR="00B2535F" w:rsidRPr="00E267AB">
        <w:rPr>
          <w:lang w:val="fr-FR"/>
        </w:rPr>
        <w:t>enfant.</w:t>
      </w:r>
    </w:p>
    <w:p w:rsidR="00B21E1F" w:rsidRPr="00E267AB" w:rsidRDefault="00475A69"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20</w:t>
      </w:r>
      <w:r w:rsidRPr="00E267AB">
        <w:rPr>
          <w:lang w:val="fr-FR"/>
        </w:rPr>
        <w:fldChar w:fldCharType="end"/>
      </w:r>
      <w:r w:rsidRPr="00E267AB">
        <w:rPr>
          <w:lang w:val="fr-FR"/>
        </w:rPr>
        <w:t>.  </w:t>
      </w:r>
      <w:r w:rsidR="00B03E94" w:rsidRPr="00E267AB">
        <w:rPr>
          <w:lang w:val="fr-FR"/>
        </w:rPr>
        <w:t xml:space="preserve">Se trouvant toujours </w:t>
      </w:r>
      <w:r w:rsidR="00B2535F" w:rsidRPr="00E267AB">
        <w:rPr>
          <w:lang w:val="fr-FR"/>
        </w:rPr>
        <w:t>dans l</w:t>
      </w:r>
      <w:r w:rsidR="00E267AB" w:rsidRPr="00E267AB">
        <w:rPr>
          <w:lang w:val="fr-FR"/>
        </w:rPr>
        <w:t>’</w:t>
      </w:r>
      <w:r w:rsidR="00B2535F" w:rsidRPr="00E267AB">
        <w:rPr>
          <w:lang w:val="fr-FR"/>
        </w:rPr>
        <w:t>impossibilité de rencontrer sa fille librement, le requérant demanda au tribunal de Pise d</w:t>
      </w:r>
      <w:r w:rsidR="00E267AB" w:rsidRPr="00E267AB">
        <w:rPr>
          <w:lang w:val="fr-FR"/>
        </w:rPr>
        <w:t>’</w:t>
      </w:r>
      <w:r w:rsidR="00B2535F" w:rsidRPr="00E267AB">
        <w:rPr>
          <w:lang w:val="fr-FR"/>
        </w:rPr>
        <w:t>intervenir et d</w:t>
      </w:r>
      <w:r w:rsidR="00E267AB" w:rsidRPr="00E267AB">
        <w:rPr>
          <w:lang w:val="fr-FR"/>
        </w:rPr>
        <w:t>’</w:t>
      </w:r>
      <w:r w:rsidR="00B2535F" w:rsidRPr="00E267AB">
        <w:rPr>
          <w:lang w:val="fr-FR"/>
        </w:rPr>
        <w:t>ordonner une expertise sur l</w:t>
      </w:r>
      <w:r w:rsidR="00E267AB" w:rsidRPr="00E267AB">
        <w:rPr>
          <w:lang w:val="fr-FR"/>
        </w:rPr>
        <w:t>’</w:t>
      </w:r>
      <w:r w:rsidR="00B2535F" w:rsidRPr="00E267AB">
        <w:rPr>
          <w:lang w:val="fr-FR"/>
        </w:rPr>
        <w:t>état psychologique de S.</w:t>
      </w:r>
    </w:p>
    <w:p w:rsidR="00B2535F" w:rsidRPr="00E267AB" w:rsidRDefault="00475A69"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21</w:t>
      </w:r>
      <w:r w:rsidRPr="00E267AB">
        <w:rPr>
          <w:lang w:val="fr-FR"/>
        </w:rPr>
        <w:fldChar w:fldCharType="end"/>
      </w:r>
      <w:r w:rsidRPr="00E267AB">
        <w:rPr>
          <w:lang w:val="fr-FR"/>
        </w:rPr>
        <w:t>.  </w:t>
      </w:r>
      <w:r w:rsidR="00B03E94" w:rsidRPr="00E267AB">
        <w:rPr>
          <w:lang w:val="fr-FR"/>
        </w:rPr>
        <w:t>À</w:t>
      </w:r>
      <w:r w:rsidR="00B2535F" w:rsidRPr="00E267AB">
        <w:rPr>
          <w:lang w:val="fr-FR"/>
        </w:rPr>
        <w:t xml:space="preserve"> une date non précisée, le tribunal </w:t>
      </w:r>
      <w:r w:rsidR="008D7B47" w:rsidRPr="00E267AB">
        <w:rPr>
          <w:lang w:val="fr-FR"/>
        </w:rPr>
        <w:t xml:space="preserve">de Pise </w:t>
      </w:r>
      <w:r w:rsidR="00B2535F" w:rsidRPr="00E267AB">
        <w:rPr>
          <w:lang w:val="fr-FR"/>
        </w:rPr>
        <w:t>ordonna aux services sociaux de mener deux expertises</w:t>
      </w:r>
      <w:r w:rsidR="0074469D" w:rsidRPr="00E267AB">
        <w:rPr>
          <w:lang w:val="fr-FR"/>
        </w:rPr>
        <w:t xml:space="preserve">, </w:t>
      </w:r>
      <w:r w:rsidR="00B2535F" w:rsidRPr="00E267AB">
        <w:rPr>
          <w:lang w:val="fr-FR"/>
        </w:rPr>
        <w:t>l</w:t>
      </w:r>
      <w:r w:rsidR="00E267AB" w:rsidRPr="00E267AB">
        <w:rPr>
          <w:lang w:val="fr-FR"/>
        </w:rPr>
        <w:t>’</w:t>
      </w:r>
      <w:r w:rsidR="00B2535F" w:rsidRPr="00E267AB">
        <w:rPr>
          <w:lang w:val="fr-FR"/>
        </w:rPr>
        <w:t xml:space="preserve">une </w:t>
      </w:r>
      <w:r w:rsidR="0074469D" w:rsidRPr="00E267AB">
        <w:rPr>
          <w:lang w:val="fr-FR"/>
        </w:rPr>
        <w:t xml:space="preserve">portant sur </w:t>
      </w:r>
      <w:r w:rsidR="00FA7A0F" w:rsidRPr="00E267AB">
        <w:rPr>
          <w:lang w:val="fr-FR"/>
        </w:rPr>
        <w:t>l</w:t>
      </w:r>
      <w:r w:rsidR="00E267AB" w:rsidRPr="00E267AB">
        <w:rPr>
          <w:lang w:val="fr-FR"/>
        </w:rPr>
        <w:t>’</w:t>
      </w:r>
      <w:r w:rsidR="00B2535F" w:rsidRPr="00E267AB">
        <w:rPr>
          <w:lang w:val="fr-FR"/>
        </w:rPr>
        <w:t xml:space="preserve">état psychologique </w:t>
      </w:r>
      <w:r w:rsidR="00FA7A0F" w:rsidRPr="00E267AB">
        <w:rPr>
          <w:lang w:val="fr-FR"/>
        </w:rPr>
        <w:t>de l</w:t>
      </w:r>
      <w:r w:rsidR="00E267AB" w:rsidRPr="00E267AB">
        <w:rPr>
          <w:lang w:val="fr-FR"/>
        </w:rPr>
        <w:t>’</w:t>
      </w:r>
      <w:r w:rsidR="00FA7A0F" w:rsidRPr="00E267AB">
        <w:rPr>
          <w:lang w:val="fr-FR"/>
        </w:rPr>
        <w:t xml:space="preserve">enfant </w:t>
      </w:r>
      <w:r w:rsidR="00B2535F" w:rsidRPr="00E267AB">
        <w:rPr>
          <w:lang w:val="fr-FR"/>
        </w:rPr>
        <w:t>et l</w:t>
      </w:r>
      <w:r w:rsidR="00E267AB" w:rsidRPr="00E267AB">
        <w:rPr>
          <w:lang w:val="fr-FR"/>
        </w:rPr>
        <w:t>’</w:t>
      </w:r>
      <w:r w:rsidR="00B2535F" w:rsidRPr="00E267AB">
        <w:rPr>
          <w:lang w:val="fr-FR"/>
        </w:rPr>
        <w:t xml:space="preserve">autre </w:t>
      </w:r>
      <w:r w:rsidR="0074469D" w:rsidRPr="00E267AB">
        <w:rPr>
          <w:lang w:val="fr-FR"/>
        </w:rPr>
        <w:t>portant sur</w:t>
      </w:r>
      <w:r w:rsidR="00CA33A8" w:rsidRPr="00E267AB">
        <w:rPr>
          <w:lang w:val="fr-FR"/>
        </w:rPr>
        <w:t xml:space="preserve"> </w:t>
      </w:r>
      <w:r w:rsidR="00B2535F" w:rsidRPr="00E267AB">
        <w:rPr>
          <w:lang w:val="fr-FR"/>
        </w:rPr>
        <w:t xml:space="preserve">son état de santé afin de </w:t>
      </w:r>
      <w:r w:rsidR="0074469D" w:rsidRPr="00E267AB">
        <w:rPr>
          <w:lang w:val="fr-FR"/>
        </w:rPr>
        <w:t>déterminer</w:t>
      </w:r>
      <w:r w:rsidR="00B2535F" w:rsidRPr="00E267AB">
        <w:rPr>
          <w:lang w:val="fr-FR"/>
        </w:rPr>
        <w:t xml:space="preserve"> si les vaccinations que la mère refusait devaient être pratiquées.</w:t>
      </w:r>
    </w:p>
    <w:p w:rsidR="00B2535F" w:rsidRPr="00E267AB" w:rsidRDefault="00475A69"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22</w:t>
      </w:r>
      <w:r w:rsidRPr="00E267AB">
        <w:rPr>
          <w:lang w:val="fr-FR"/>
        </w:rPr>
        <w:fldChar w:fldCharType="end"/>
      </w:r>
      <w:r w:rsidRPr="00E267AB">
        <w:rPr>
          <w:lang w:val="fr-FR"/>
        </w:rPr>
        <w:t>.  </w:t>
      </w:r>
      <w:r w:rsidR="00B2535F" w:rsidRPr="00E267AB">
        <w:rPr>
          <w:lang w:val="fr-FR"/>
        </w:rPr>
        <w:t xml:space="preserve">Entre-temps, N.R. avait déposé un recours </w:t>
      </w:r>
      <w:r w:rsidR="00CA33A8" w:rsidRPr="00E267AB">
        <w:rPr>
          <w:lang w:val="fr-FR"/>
        </w:rPr>
        <w:t xml:space="preserve">aux fins de </w:t>
      </w:r>
      <w:r w:rsidR="00B2535F" w:rsidRPr="00E267AB">
        <w:rPr>
          <w:lang w:val="fr-FR"/>
        </w:rPr>
        <w:t>contest</w:t>
      </w:r>
      <w:r w:rsidR="00CA33A8" w:rsidRPr="00E267AB">
        <w:rPr>
          <w:lang w:val="fr-FR"/>
        </w:rPr>
        <w:t>ation de</w:t>
      </w:r>
      <w:r w:rsidR="00B2535F" w:rsidRPr="00E267AB">
        <w:rPr>
          <w:lang w:val="fr-FR"/>
        </w:rPr>
        <w:t xml:space="preserve"> la décision du tribunal sur la garde de l</w:t>
      </w:r>
      <w:r w:rsidR="00E267AB" w:rsidRPr="00E267AB">
        <w:rPr>
          <w:lang w:val="fr-FR"/>
        </w:rPr>
        <w:t>’</w:t>
      </w:r>
      <w:r w:rsidR="00B2535F" w:rsidRPr="00E267AB">
        <w:rPr>
          <w:lang w:val="fr-FR"/>
        </w:rPr>
        <w:t xml:space="preserve">enfant. </w:t>
      </w:r>
      <w:r w:rsidR="008D7B47" w:rsidRPr="00E267AB">
        <w:rPr>
          <w:lang w:val="fr-FR"/>
        </w:rPr>
        <w:t>L</w:t>
      </w:r>
      <w:r w:rsidR="00B2535F" w:rsidRPr="00E267AB">
        <w:rPr>
          <w:lang w:val="fr-FR"/>
        </w:rPr>
        <w:t>e tribunal et la cour d</w:t>
      </w:r>
      <w:r w:rsidR="00E267AB" w:rsidRPr="00E267AB">
        <w:rPr>
          <w:lang w:val="fr-FR"/>
        </w:rPr>
        <w:t>’</w:t>
      </w:r>
      <w:r w:rsidR="00B2535F" w:rsidRPr="00E267AB">
        <w:rPr>
          <w:lang w:val="fr-FR"/>
        </w:rPr>
        <w:t>appel</w:t>
      </w:r>
      <w:r w:rsidR="008D7B47" w:rsidRPr="00E267AB">
        <w:rPr>
          <w:lang w:val="fr-FR"/>
        </w:rPr>
        <w:t xml:space="preserve"> rejetèrent ce recours</w:t>
      </w:r>
      <w:r w:rsidR="00B2535F" w:rsidRPr="00E267AB">
        <w:rPr>
          <w:lang w:val="fr-FR"/>
        </w:rPr>
        <w:t>.</w:t>
      </w:r>
    </w:p>
    <w:p w:rsidR="00B21E1F" w:rsidRPr="00E267AB" w:rsidRDefault="00475A69"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23</w:t>
      </w:r>
      <w:r w:rsidRPr="00E267AB">
        <w:rPr>
          <w:lang w:val="fr-FR"/>
        </w:rPr>
        <w:fldChar w:fldCharType="end"/>
      </w:r>
      <w:r w:rsidRPr="00E267AB">
        <w:rPr>
          <w:lang w:val="fr-FR"/>
        </w:rPr>
        <w:t>.  </w:t>
      </w:r>
      <w:r w:rsidR="00B2535F" w:rsidRPr="00E267AB">
        <w:rPr>
          <w:lang w:val="fr-FR"/>
        </w:rPr>
        <w:t xml:space="preserve">Le 4 février 2009, N.R. </w:t>
      </w:r>
      <w:r w:rsidR="009C259E" w:rsidRPr="00E267AB">
        <w:rPr>
          <w:lang w:val="fr-FR"/>
        </w:rPr>
        <w:t>indiqua</w:t>
      </w:r>
      <w:r w:rsidR="00CA33A8" w:rsidRPr="00E267AB">
        <w:rPr>
          <w:lang w:val="fr-FR"/>
        </w:rPr>
        <w:t xml:space="preserve"> </w:t>
      </w:r>
      <w:r w:rsidR="00B2535F" w:rsidRPr="00E267AB">
        <w:rPr>
          <w:lang w:val="fr-FR"/>
        </w:rPr>
        <w:t xml:space="preserve">aux services sociaux que S. avait </w:t>
      </w:r>
      <w:r w:rsidR="00CA33A8" w:rsidRPr="00E267AB">
        <w:rPr>
          <w:lang w:val="fr-FR"/>
        </w:rPr>
        <w:t xml:space="preserve">subi des </w:t>
      </w:r>
      <w:r w:rsidR="00B2535F" w:rsidRPr="00E267AB">
        <w:rPr>
          <w:lang w:val="fr-FR"/>
        </w:rPr>
        <w:t>attouch</w:t>
      </w:r>
      <w:r w:rsidR="00CA33A8" w:rsidRPr="00E267AB">
        <w:rPr>
          <w:lang w:val="fr-FR"/>
        </w:rPr>
        <w:t>ements</w:t>
      </w:r>
      <w:r w:rsidR="00B2535F" w:rsidRPr="00E267AB">
        <w:rPr>
          <w:lang w:val="fr-FR"/>
        </w:rPr>
        <w:t xml:space="preserve"> sexuel</w:t>
      </w:r>
      <w:r w:rsidR="00CA33A8" w:rsidRPr="00E267AB">
        <w:rPr>
          <w:lang w:val="fr-FR"/>
        </w:rPr>
        <w:t>s de la part du</w:t>
      </w:r>
      <w:r w:rsidR="00B2535F" w:rsidRPr="00E267AB">
        <w:rPr>
          <w:lang w:val="fr-FR"/>
        </w:rPr>
        <w:t xml:space="preserve"> requérant.</w:t>
      </w:r>
    </w:p>
    <w:p w:rsidR="00B2535F" w:rsidRPr="00E267AB" w:rsidRDefault="00475A69"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24</w:t>
      </w:r>
      <w:r w:rsidRPr="00E267AB">
        <w:rPr>
          <w:lang w:val="fr-FR"/>
        </w:rPr>
        <w:fldChar w:fldCharType="end"/>
      </w:r>
      <w:r w:rsidRPr="00E267AB">
        <w:rPr>
          <w:lang w:val="fr-FR"/>
        </w:rPr>
        <w:t>.  </w:t>
      </w:r>
      <w:r w:rsidR="00B2535F" w:rsidRPr="00E267AB">
        <w:rPr>
          <w:lang w:val="fr-FR"/>
        </w:rPr>
        <w:t xml:space="preserve">Le </w:t>
      </w:r>
      <w:r w:rsidR="00CA33A8" w:rsidRPr="00E267AB">
        <w:rPr>
          <w:lang w:val="fr-FR"/>
        </w:rPr>
        <w:t>même jour</w:t>
      </w:r>
      <w:r w:rsidR="00B2535F" w:rsidRPr="00E267AB">
        <w:rPr>
          <w:lang w:val="fr-FR"/>
        </w:rPr>
        <w:t xml:space="preserve">, les services sociaux </w:t>
      </w:r>
      <w:r w:rsidR="00CA33A8" w:rsidRPr="00E267AB">
        <w:rPr>
          <w:lang w:val="fr-FR"/>
        </w:rPr>
        <w:t>inform</w:t>
      </w:r>
      <w:r w:rsidR="00B2535F" w:rsidRPr="00E267AB">
        <w:rPr>
          <w:lang w:val="fr-FR"/>
        </w:rPr>
        <w:t xml:space="preserve">èrent </w:t>
      </w:r>
      <w:r w:rsidR="00CA33A8" w:rsidRPr="00E267AB">
        <w:rPr>
          <w:lang w:val="fr-FR"/>
        </w:rPr>
        <w:t>le</w:t>
      </w:r>
      <w:r w:rsidR="00B2535F" w:rsidRPr="00E267AB">
        <w:rPr>
          <w:lang w:val="fr-FR"/>
        </w:rPr>
        <w:t xml:space="preserve"> </w:t>
      </w:r>
      <w:r w:rsidR="00CA33A8" w:rsidRPr="00E267AB">
        <w:rPr>
          <w:lang w:val="fr-FR"/>
        </w:rPr>
        <w:t>p</w:t>
      </w:r>
      <w:r w:rsidR="00B2535F" w:rsidRPr="00E267AB">
        <w:rPr>
          <w:lang w:val="fr-FR"/>
        </w:rPr>
        <w:t>rocureur de la République</w:t>
      </w:r>
      <w:r w:rsidR="00CA33A8" w:rsidRPr="00E267AB">
        <w:rPr>
          <w:lang w:val="fr-FR"/>
        </w:rPr>
        <w:t xml:space="preserve"> de la situation de l</w:t>
      </w:r>
      <w:r w:rsidR="00E267AB" w:rsidRPr="00E267AB">
        <w:rPr>
          <w:lang w:val="fr-FR"/>
        </w:rPr>
        <w:t>’</w:t>
      </w:r>
      <w:r w:rsidR="00CA33A8" w:rsidRPr="00E267AB">
        <w:rPr>
          <w:lang w:val="fr-FR"/>
        </w:rPr>
        <w:t>enfant</w:t>
      </w:r>
      <w:r w:rsidR="00B2535F" w:rsidRPr="00E267AB">
        <w:rPr>
          <w:lang w:val="fr-FR"/>
        </w:rPr>
        <w:t>.</w:t>
      </w:r>
    </w:p>
    <w:p w:rsidR="00B2535F" w:rsidRPr="00E267AB" w:rsidRDefault="00475A69"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25</w:t>
      </w:r>
      <w:r w:rsidRPr="00E267AB">
        <w:rPr>
          <w:lang w:val="fr-FR"/>
        </w:rPr>
        <w:fldChar w:fldCharType="end"/>
      </w:r>
      <w:r w:rsidRPr="00E267AB">
        <w:rPr>
          <w:lang w:val="fr-FR"/>
        </w:rPr>
        <w:t>.  </w:t>
      </w:r>
      <w:r w:rsidR="00B2535F" w:rsidRPr="00E267AB">
        <w:rPr>
          <w:lang w:val="fr-FR"/>
        </w:rPr>
        <w:t xml:space="preserve">Le 13 février 2009, ils demandèrent au juge de réduire le nombre de rencontres </w:t>
      </w:r>
      <w:r w:rsidR="00B41FA9" w:rsidRPr="00E267AB">
        <w:rPr>
          <w:lang w:val="fr-FR"/>
        </w:rPr>
        <w:t xml:space="preserve">en milieu protégé </w:t>
      </w:r>
      <w:r w:rsidR="00B2535F" w:rsidRPr="00E267AB">
        <w:rPr>
          <w:lang w:val="fr-FR"/>
        </w:rPr>
        <w:t>entre l</w:t>
      </w:r>
      <w:r w:rsidR="00E267AB" w:rsidRPr="00E267AB">
        <w:rPr>
          <w:lang w:val="fr-FR"/>
        </w:rPr>
        <w:t>’</w:t>
      </w:r>
      <w:r w:rsidR="00B2535F" w:rsidRPr="00E267AB">
        <w:rPr>
          <w:lang w:val="fr-FR"/>
        </w:rPr>
        <w:t xml:space="preserve">enfant et le requérant. </w:t>
      </w:r>
      <w:r w:rsidR="00CA33A8" w:rsidRPr="00E267AB">
        <w:rPr>
          <w:lang w:val="fr-FR"/>
        </w:rPr>
        <w:t>Le juge décida de r</w:t>
      </w:r>
      <w:r w:rsidR="00B95F02" w:rsidRPr="00E267AB">
        <w:rPr>
          <w:lang w:val="fr-FR"/>
        </w:rPr>
        <w:t>estreindre le droit de visite de ce dernier, portant</w:t>
      </w:r>
      <w:r w:rsidR="00CA33A8" w:rsidRPr="00E267AB">
        <w:rPr>
          <w:lang w:val="fr-FR"/>
        </w:rPr>
        <w:t xml:space="preserve"> le nombre</w:t>
      </w:r>
      <w:r w:rsidR="00B95F02" w:rsidRPr="00E267AB">
        <w:rPr>
          <w:lang w:val="fr-FR"/>
        </w:rPr>
        <w:t xml:space="preserve"> de </w:t>
      </w:r>
      <w:r w:rsidR="00D85123" w:rsidRPr="00E267AB">
        <w:rPr>
          <w:lang w:val="fr-FR"/>
        </w:rPr>
        <w:t>rencontres</w:t>
      </w:r>
      <w:r w:rsidR="00B95F02" w:rsidRPr="00E267AB">
        <w:rPr>
          <w:lang w:val="fr-FR"/>
        </w:rPr>
        <w:t xml:space="preserve"> </w:t>
      </w:r>
      <w:r w:rsidR="00B2535F" w:rsidRPr="00E267AB">
        <w:rPr>
          <w:lang w:val="fr-FR"/>
        </w:rPr>
        <w:t>à une par semaine</w:t>
      </w:r>
      <w:r w:rsidR="00B95F02" w:rsidRPr="00E267AB">
        <w:rPr>
          <w:lang w:val="fr-FR"/>
        </w:rPr>
        <w:t>,</w:t>
      </w:r>
      <w:r w:rsidR="00B2535F" w:rsidRPr="00E267AB">
        <w:rPr>
          <w:lang w:val="fr-FR"/>
        </w:rPr>
        <w:t xml:space="preserve"> </w:t>
      </w:r>
      <w:r w:rsidR="00EE1B3C" w:rsidRPr="00E267AB">
        <w:rPr>
          <w:lang w:val="fr-FR"/>
        </w:rPr>
        <w:t>et imposa à</w:t>
      </w:r>
      <w:r w:rsidR="00B2535F" w:rsidRPr="00E267AB">
        <w:rPr>
          <w:lang w:val="fr-FR"/>
        </w:rPr>
        <w:t xml:space="preserve"> N.R. </w:t>
      </w:r>
      <w:r w:rsidR="00EE1B3C" w:rsidRPr="00E267AB">
        <w:rPr>
          <w:lang w:val="fr-FR"/>
        </w:rPr>
        <w:t>l</w:t>
      </w:r>
      <w:r w:rsidR="00E267AB" w:rsidRPr="00E267AB">
        <w:rPr>
          <w:lang w:val="fr-FR"/>
        </w:rPr>
        <w:t>’</w:t>
      </w:r>
      <w:r w:rsidR="00EE1B3C" w:rsidRPr="00E267AB">
        <w:rPr>
          <w:lang w:val="fr-FR"/>
        </w:rPr>
        <w:t xml:space="preserve">obligation </w:t>
      </w:r>
      <w:r w:rsidR="00B2535F" w:rsidRPr="00E267AB">
        <w:rPr>
          <w:lang w:val="fr-FR"/>
        </w:rPr>
        <w:t>de laisser l</w:t>
      </w:r>
      <w:r w:rsidR="00E267AB" w:rsidRPr="00E267AB">
        <w:rPr>
          <w:lang w:val="fr-FR"/>
        </w:rPr>
        <w:t>’</w:t>
      </w:r>
      <w:r w:rsidR="00B2535F" w:rsidRPr="00E267AB">
        <w:rPr>
          <w:lang w:val="fr-FR"/>
        </w:rPr>
        <w:t>enfant seule avec le père et les assistants sociaux</w:t>
      </w:r>
      <w:r w:rsidR="00D85123" w:rsidRPr="00E267AB">
        <w:rPr>
          <w:lang w:val="fr-FR"/>
        </w:rPr>
        <w:t xml:space="preserve"> lors de ces visites</w:t>
      </w:r>
      <w:r w:rsidR="00B2535F" w:rsidRPr="00E267AB">
        <w:rPr>
          <w:lang w:val="fr-FR"/>
        </w:rPr>
        <w:t>.</w:t>
      </w:r>
    </w:p>
    <w:p w:rsidR="00B2535F" w:rsidRPr="00E267AB" w:rsidRDefault="00475A69"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26</w:t>
      </w:r>
      <w:r w:rsidRPr="00E267AB">
        <w:rPr>
          <w:lang w:val="fr-FR"/>
        </w:rPr>
        <w:fldChar w:fldCharType="end"/>
      </w:r>
      <w:r w:rsidRPr="00E267AB">
        <w:rPr>
          <w:lang w:val="fr-FR"/>
        </w:rPr>
        <w:t>.  </w:t>
      </w:r>
      <w:r w:rsidR="00B2535F" w:rsidRPr="00E267AB">
        <w:rPr>
          <w:lang w:val="fr-FR"/>
        </w:rPr>
        <w:t>Le 12 mars 2009, N.R.</w:t>
      </w:r>
      <w:r w:rsidR="00CA33A8" w:rsidRPr="00E267AB">
        <w:rPr>
          <w:lang w:val="fr-FR"/>
        </w:rPr>
        <w:t>, agissant</w:t>
      </w:r>
      <w:r w:rsidR="00B2535F" w:rsidRPr="00E267AB">
        <w:rPr>
          <w:lang w:val="fr-FR"/>
        </w:rPr>
        <w:t xml:space="preserve"> sans autorisation, fit </w:t>
      </w:r>
      <w:r w:rsidR="00CA33A8" w:rsidRPr="00E267AB">
        <w:rPr>
          <w:lang w:val="fr-FR"/>
        </w:rPr>
        <w:t>examiner</w:t>
      </w:r>
      <w:r w:rsidR="00B2535F" w:rsidRPr="00E267AB">
        <w:rPr>
          <w:lang w:val="fr-FR"/>
        </w:rPr>
        <w:t xml:space="preserve"> S. par un gynécologue afin de prouver qu</w:t>
      </w:r>
      <w:r w:rsidR="00CA33A8" w:rsidRPr="00E267AB">
        <w:rPr>
          <w:lang w:val="fr-FR"/>
        </w:rPr>
        <w:t>e c</w:t>
      </w:r>
      <w:r w:rsidR="00B2535F" w:rsidRPr="00E267AB">
        <w:rPr>
          <w:lang w:val="fr-FR"/>
        </w:rPr>
        <w:t>elle</w:t>
      </w:r>
      <w:r w:rsidR="00CA33A8" w:rsidRPr="00E267AB">
        <w:rPr>
          <w:lang w:val="fr-FR"/>
        </w:rPr>
        <w:t>-ci</w:t>
      </w:r>
      <w:r w:rsidR="00B2535F" w:rsidRPr="00E267AB">
        <w:rPr>
          <w:lang w:val="fr-FR"/>
        </w:rPr>
        <w:t xml:space="preserve"> avait </w:t>
      </w:r>
      <w:r w:rsidR="00CA33A8" w:rsidRPr="00E267AB">
        <w:rPr>
          <w:lang w:val="fr-FR"/>
        </w:rPr>
        <w:t>subi des att</w:t>
      </w:r>
      <w:r w:rsidR="00B2535F" w:rsidRPr="00E267AB">
        <w:rPr>
          <w:lang w:val="fr-FR"/>
        </w:rPr>
        <w:t>ouch</w:t>
      </w:r>
      <w:r w:rsidR="00CA33A8" w:rsidRPr="00E267AB">
        <w:rPr>
          <w:lang w:val="fr-FR"/>
        </w:rPr>
        <w:t>ements</w:t>
      </w:r>
      <w:r w:rsidR="00B2535F" w:rsidRPr="00E267AB">
        <w:rPr>
          <w:lang w:val="fr-FR"/>
        </w:rPr>
        <w:t xml:space="preserve"> sexuel</w:t>
      </w:r>
      <w:r w:rsidR="00CA33A8" w:rsidRPr="00E267AB">
        <w:rPr>
          <w:lang w:val="fr-FR"/>
        </w:rPr>
        <w:t>s de la part du</w:t>
      </w:r>
      <w:r w:rsidR="00B2535F" w:rsidRPr="00E267AB">
        <w:rPr>
          <w:lang w:val="fr-FR"/>
        </w:rPr>
        <w:t xml:space="preserve"> requérant.</w:t>
      </w:r>
      <w:r w:rsidR="008024AE" w:rsidRPr="00E267AB">
        <w:rPr>
          <w:lang w:val="fr-FR"/>
        </w:rPr>
        <w:t xml:space="preserve"> Le 2 avril 2009 </w:t>
      </w:r>
      <w:r w:rsidR="00131D42" w:rsidRPr="00E267AB">
        <w:rPr>
          <w:lang w:val="fr-FR"/>
        </w:rPr>
        <w:t xml:space="preserve">N.R. </w:t>
      </w:r>
      <w:r w:rsidR="008024AE" w:rsidRPr="00E267AB">
        <w:rPr>
          <w:lang w:val="fr-FR"/>
        </w:rPr>
        <w:t>déposa alors une plainte pénale.</w:t>
      </w:r>
    </w:p>
    <w:p w:rsidR="00B2535F" w:rsidRPr="00E267AB" w:rsidRDefault="00475A69"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27</w:t>
      </w:r>
      <w:r w:rsidRPr="00E267AB">
        <w:rPr>
          <w:lang w:val="fr-FR"/>
        </w:rPr>
        <w:fldChar w:fldCharType="end"/>
      </w:r>
      <w:r w:rsidRPr="00E267AB">
        <w:rPr>
          <w:lang w:val="fr-FR"/>
        </w:rPr>
        <w:t>.  </w:t>
      </w:r>
      <w:r w:rsidR="00B2535F" w:rsidRPr="00E267AB">
        <w:rPr>
          <w:lang w:val="fr-FR"/>
        </w:rPr>
        <w:t xml:space="preserve">Entre-temps, </w:t>
      </w:r>
      <w:r w:rsidR="00AA0D4A" w:rsidRPr="00E267AB">
        <w:rPr>
          <w:lang w:val="fr-FR"/>
        </w:rPr>
        <w:t>la tenue des</w:t>
      </w:r>
      <w:r w:rsidR="00B2535F" w:rsidRPr="00E267AB">
        <w:rPr>
          <w:lang w:val="fr-FR"/>
        </w:rPr>
        <w:t xml:space="preserve"> rencontres </w:t>
      </w:r>
      <w:r w:rsidR="00AA0D4A" w:rsidRPr="00E267AB">
        <w:rPr>
          <w:lang w:val="fr-FR"/>
        </w:rPr>
        <w:t>avait été</w:t>
      </w:r>
      <w:r w:rsidR="00B2535F" w:rsidRPr="00E267AB">
        <w:rPr>
          <w:lang w:val="fr-FR"/>
        </w:rPr>
        <w:t xml:space="preserve"> </w:t>
      </w:r>
      <w:r w:rsidR="00AA0D4A" w:rsidRPr="00E267AB">
        <w:rPr>
          <w:lang w:val="fr-FR"/>
        </w:rPr>
        <w:t>difficile</w:t>
      </w:r>
      <w:r w:rsidR="002C73F4" w:rsidRPr="00E267AB">
        <w:rPr>
          <w:lang w:val="fr-FR"/>
        </w:rPr>
        <w:t xml:space="preserve"> </w:t>
      </w:r>
      <w:r w:rsidR="006C5F05" w:rsidRPr="00E267AB">
        <w:rPr>
          <w:lang w:val="fr-FR"/>
        </w:rPr>
        <w:t>en raison du refus de</w:t>
      </w:r>
      <w:r w:rsidR="00B2535F" w:rsidRPr="00E267AB">
        <w:rPr>
          <w:lang w:val="fr-FR"/>
        </w:rPr>
        <w:t xml:space="preserve"> S.</w:t>
      </w:r>
      <w:r w:rsidR="006C5F05" w:rsidRPr="00E267AB">
        <w:rPr>
          <w:lang w:val="fr-FR"/>
        </w:rPr>
        <w:t xml:space="preserve"> </w:t>
      </w:r>
      <w:r w:rsidR="00B2535F" w:rsidRPr="00E267AB">
        <w:rPr>
          <w:lang w:val="fr-FR"/>
        </w:rPr>
        <w:t xml:space="preserve">de </w:t>
      </w:r>
      <w:r w:rsidR="00AA0D4A" w:rsidRPr="00E267AB">
        <w:rPr>
          <w:lang w:val="fr-FR"/>
        </w:rPr>
        <w:t>voir</w:t>
      </w:r>
      <w:r w:rsidR="00B2535F" w:rsidRPr="00E267AB">
        <w:rPr>
          <w:lang w:val="fr-FR"/>
        </w:rPr>
        <w:t xml:space="preserve"> le requérant et </w:t>
      </w:r>
      <w:r w:rsidR="006C5F05" w:rsidRPr="00E267AB">
        <w:rPr>
          <w:lang w:val="fr-FR"/>
        </w:rPr>
        <w:t>de la présence constante de</w:t>
      </w:r>
      <w:r w:rsidR="00B2535F" w:rsidRPr="00E267AB">
        <w:rPr>
          <w:lang w:val="fr-FR"/>
        </w:rPr>
        <w:t xml:space="preserve"> N.R.</w:t>
      </w:r>
      <w:r w:rsidR="00AA0D4A" w:rsidRPr="00E267AB">
        <w:rPr>
          <w:lang w:val="fr-FR"/>
        </w:rPr>
        <w:t xml:space="preserve"> lors de</w:t>
      </w:r>
      <w:r w:rsidR="00B715CE" w:rsidRPr="00E267AB">
        <w:rPr>
          <w:lang w:val="fr-FR"/>
        </w:rPr>
        <w:t>s</w:t>
      </w:r>
      <w:r w:rsidR="00AA0D4A" w:rsidRPr="00E267AB">
        <w:rPr>
          <w:lang w:val="fr-FR"/>
        </w:rPr>
        <w:t xml:space="preserve"> visites</w:t>
      </w:r>
      <w:r w:rsidR="00B2535F" w:rsidRPr="00E267AB">
        <w:rPr>
          <w:lang w:val="fr-FR"/>
        </w:rPr>
        <w:t>.</w:t>
      </w:r>
    </w:p>
    <w:p w:rsidR="00B2535F" w:rsidRPr="00E267AB" w:rsidRDefault="00475A69" w:rsidP="00E267AB">
      <w:pPr>
        <w:pStyle w:val="ECHRPara"/>
        <w:rPr>
          <w:lang w:val="fr-FR"/>
        </w:rPr>
      </w:pPr>
      <w:r w:rsidRPr="00E267AB">
        <w:rPr>
          <w:lang w:val="fr-FR"/>
        </w:rPr>
        <w:lastRenderedPageBreak/>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28</w:t>
      </w:r>
      <w:r w:rsidRPr="00E267AB">
        <w:rPr>
          <w:lang w:val="fr-FR"/>
        </w:rPr>
        <w:fldChar w:fldCharType="end"/>
      </w:r>
      <w:r w:rsidRPr="00E267AB">
        <w:rPr>
          <w:lang w:val="fr-FR"/>
        </w:rPr>
        <w:t>.  </w:t>
      </w:r>
      <w:r w:rsidR="00B2535F" w:rsidRPr="00E267AB">
        <w:rPr>
          <w:lang w:val="fr-FR"/>
        </w:rPr>
        <w:t xml:space="preserve">Le 12 juin 2009, le gynécologue consulté par N.R. attesta que S. avait subi des attouchements sexuels. </w:t>
      </w:r>
      <w:r w:rsidR="00640DBF" w:rsidRPr="00E267AB">
        <w:rPr>
          <w:lang w:val="fr-FR"/>
        </w:rPr>
        <w:t>Par conséquent, u</w:t>
      </w:r>
      <w:r w:rsidR="00B2535F" w:rsidRPr="00E267AB">
        <w:rPr>
          <w:lang w:val="fr-FR"/>
        </w:rPr>
        <w:t xml:space="preserve">ne expertise médicale </w:t>
      </w:r>
      <w:r w:rsidR="0058554F" w:rsidRPr="00E267AB">
        <w:rPr>
          <w:lang w:val="fr-FR"/>
        </w:rPr>
        <w:t xml:space="preserve">de S. </w:t>
      </w:r>
      <w:r w:rsidR="00B2535F" w:rsidRPr="00E267AB">
        <w:rPr>
          <w:lang w:val="fr-FR"/>
        </w:rPr>
        <w:t>fut ordonnée.</w:t>
      </w:r>
    </w:p>
    <w:p w:rsidR="00B2535F" w:rsidRPr="00E267AB" w:rsidRDefault="00475A69"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29</w:t>
      </w:r>
      <w:r w:rsidRPr="00E267AB">
        <w:rPr>
          <w:lang w:val="fr-FR"/>
        </w:rPr>
        <w:fldChar w:fldCharType="end"/>
      </w:r>
      <w:r w:rsidRPr="00E267AB">
        <w:rPr>
          <w:lang w:val="fr-FR"/>
        </w:rPr>
        <w:t>.  </w:t>
      </w:r>
      <w:r w:rsidR="005F54FD" w:rsidRPr="00E267AB">
        <w:rPr>
          <w:lang w:val="fr-FR"/>
        </w:rPr>
        <w:t xml:space="preserve">Par la suite, dans </w:t>
      </w:r>
      <w:r w:rsidR="00B2535F" w:rsidRPr="00E267AB">
        <w:rPr>
          <w:lang w:val="fr-FR"/>
        </w:rPr>
        <w:t xml:space="preserve">un rapport du 10 juillet 2009, les services sociaux signalèrent au tribunal </w:t>
      </w:r>
      <w:r w:rsidR="008D7CF0" w:rsidRPr="00E267AB">
        <w:rPr>
          <w:lang w:val="fr-FR"/>
        </w:rPr>
        <w:t>des</w:t>
      </w:r>
      <w:r w:rsidR="00B2535F" w:rsidRPr="00E267AB">
        <w:rPr>
          <w:lang w:val="fr-FR"/>
        </w:rPr>
        <w:t xml:space="preserve"> difficulté</w:t>
      </w:r>
      <w:r w:rsidR="008D7CF0" w:rsidRPr="00E267AB">
        <w:rPr>
          <w:lang w:val="fr-FR"/>
        </w:rPr>
        <w:t>s</w:t>
      </w:r>
      <w:r w:rsidR="00B2535F" w:rsidRPr="00E267AB">
        <w:rPr>
          <w:lang w:val="fr-FR"/>
        </w:rPr>
        <w:t xml:space="preserve"> dans le déroulement des rencontres. Ils demandaient au tribunal de suspendre </w:t>
      </w:r>
      <w:r w:rsidR="009354CC" w:rsidRPr="00E267AB">
        <w:rPr>
          <w:lang w:val="fr-FR"/>
        </w:rPr>
        <w:t xml:space="preserve">celles-ci </w:t>
      </w:r>
      <w:r w:rsidR="00B2535F" w:rsidRPr="00E267AB">
        <w:rPr>
          <w:lang w:val="fr-FR"/>
        </w:rPr>
        <w:t>dans l</w:t>
      </w:r>
      <w:r w:rsidR="00E267AB" w:rsidRPr="00E267AB">
        <w:rPr>
          <w:lang w:val="fr-FR"/>
        </w:rPr>
        <w:t>’</w:t>
      </w:r>
      <w:r w:rsidR="00B2535F" w:rsidRPr="00E267AB">
        <w:rPr>
          <w:lang w:val="fr-FR"/>
        </w:rPr>
        <w:t>attente de l</w:t>
      </w:r>
      <w:r w:rsidR="00E267AB" w:rsidRPr="00E267AB">
        <w:rPr>
          <w:lang w:val="fr-FR"/>
        </w:rPr>
        <w:t>’</w:t>
      </w:r>
      <w:r w:rsidR="009354CC" w:rsidRPr="00E267AB">
        <w:rPr>
          <w:lang w:val="fr-FR"/>
        </w:rPr>
        <w:t>aboutissement</w:t>
      </w:r>
      <w:r w:rsidR="00B2535F" w:rsidRPr="00E267AB">
        <w:rPr>
          <w:lang w:val="fr-FR"/>
        </w:rPr>
        <w:t xml:space="preserve"> de l</w:t>
      </w:r>
      <w:r w:rsidR="00E267AB" w:rsidRPr="00E267AB">
        <w:rPr>
          <w:lang w:val="fr-FR"/>
        </w:rPr>
        <w:t>’</w:t>
      </w:r>
      <w:r w:rsidR="00B2535F" w:rsidRPr="00E267AB">
        <w:rPr>
          <w:lang w:val="fr-FR"/>
        </w:rPr>
        <w:t>enquête pénale portant sur les attouchements sexuels</w:t>
      </w:r>
      <w:r w:rsidR="008D7CF0" w:rsidRPr="00E267AB">
        <w:rPr>
          <w:lang w:val="fr-FR"/>
        </w:rPr>
        <w:t xml:space="preserve"> allégués</w:t>
      </w:r>
      <w:r w:rsidR="00B2535F" w:rsidRPr="00E267AB">
        <w:rPr>
          <w:lang w:val="fr-FR"/>
        </w:rPr>
        <w:t>.</w:t>
      </w:r>
    </w:p>
    <w:p w:rsidR="00B2535F" w:rsidRPr="00E267AB" w:rsidRDefault="00475A69"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30</w:t>
      </w:r>
      <w:r w:rsidRPr="00E267AB">
        <w:rPr>
          <w:lang w:val="fr-FR"/>
        </w:rPr>
        <w:fldChar w:fldCharType="end"/>
      </w:r>
      <w:r w:rsidRPr="00E267AB">
        <w:rPr>
          <w:lang w:val="fr-FR"/>
        </w:rPr>
        <w:t>.  </w:t>
      </w:r>
      <w:r w:rsidR="00B36048" w:rsidRPr="00E267AB">
        <w:rPr>
          <w:lang w:val="fr-FR"/>
        </w:rPr>
        <w:t>Dans le cadre de l</w:t>
      </w:r>
      <w:r w:rsidR="00E267AB" w:rsidRPr="00E267AB">
        <w:rPr>
          <w:lang w:val="fr-FR"/>
        </w:rPr>
        <w:t>’</w:t>
      </w:r>
      <w:r w:rsidR="00B36048" w:rsidRPr="00E267AB">
        <w:rPr>
          <w:lang w:val="fr-FR"/>
        </w:rPr>
        <w:t>enquête pénale,</w:t>
      </w:r>
      <w:r w:rsidR="00153647" w:rsidRPr="00E267AB">
        <w:rPr>
          <w:lang w:val="fr-FR"/>
        </w:rPr>
        <w:t xml:space="preserve"> </w:t>
      </w:r>
      <w:r w:rsidR="00B36048" w:rsidRPr="00E267AB">
        <w:rPr>
          <w:lang w:val="fr-FR"/>
        </w:rPr>
        <w:t>une</w:t>
      </w:r>
      <w:r w:rsidR="00B2535F" w:rsidRPr="00E267AB">
        <w:rPr>
          <w:lang w:val="fr-FR"/>
        </w:rPr>
        <w:t xml:space="preserve"> visite gynécologique fut fixée en juillet 2009. N.R</w:t>
      </w:r>
      <w:r w:rsidR="00FC4BD8" w:rsidRPr="00E267AB">
        <w:rPr>
          <w:lang w:val="fr-FR"/>
        </w:rPr>
        <w:t>.</w:t>
      </w:r>
      <w:r w:rsidR="00B2535F" w:rsidRPr="00E267AB">
        <w:rPr>
          <w:lang w:val="fr-FR"/>
        </w:rPr>
        <w:t xml:space="preserve"> ne présenta pas</w:t>
      </w:r>
      <w:r w:rsidR="009354CC" w:rsidRPr="00E267AB">
        <w:rPr>
          <w:lang w:val="fr-FR"/>
        </w:rPr>
        <w:t xml:space="preserve"> sa fille à cet examen</w:t>
      </w:r>
      <w:r w:rsidR="00B2535F" w:rsidRPr="00E267AB">
        <w:rPr>
          <w:lang w:val="fr-FR"/>
        </w:rPr>
        <w:t>.</w:t>
      </w:r>
    </w:p>
    <w:p w:rsidR="00B2535F" w:rsidRPr="00E267AB" w:rsidRDefault="00475A69"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31</w:t>
      </w:r>
      <w:r w:rsidRPr="00E267AB">
        <w:rPr>
          <w:lang w:val="fr-FR"/>
        </w:rPr>
        <w:fldChar w:fldCharType="end"/>
      </w:r>
      <w:r w:rsidRPr="00E267AB">
        <w:rPr>
          <w:lang w:val="fr-FR"/>
        </w:rPr>
        <w:t>.  </w:t>
      </w:r>
      <w:r w:rsidR="00B2535F" w:rsidRPr="00E267AB">
        <w:rPr>
          <w:lang w:val="fr-FR"/>
        </w:rPr>
        <w:t xml:space="preserve">Le 13 août 2009, le tribunal </w:t>
      </w:r>
      <w:r w:rsidR="00956ADE" w:rsidRPr="00E267AB">
        <w:rPr>
          <w:lang w:val="fr-FR"/>
        </w:rPr>
        <w:t>condamna N.R. au paiement d</w:t>
      </w:r>
      <w:r w:rsidR="00E267AB" w:rsidRPr="00E267AB">
        <w:rPr>
          <w:lang w:val="fr-FR"/>
        </w:rPr>
        <w:t>’</w:t>
      </w:r>
      <w:r w:rsidR="00956ADE" w:rsidRPr="00E267AB">
        <w:rPr>
          <w:lang w:val="fr-FR"/>
        </w:rPr>
        <w:t>u</w:t>
      </w:r>
      <w:r w:rsidR="00B2535F" w:rsidRPr="00E267AB">
        <w:rPr>
          <w:lang w:val="fr-FR"/>
        </w:rPr>
        <w:t xml:space="preserve">ne amende de 1 500 euros </w:t>
      </w:r>
      <w:r w:rsidR="00956ADE" w:rsidRPr="00E267AB">
        <w:rPr>
          <w:lang w:val="fr-FR"/>
        </w:rPr>
        <w:t>(EUR) p</w:t>
      </w:r>
      <w:r w:rsidR="00B2535F" w:rsidRPr="00E267AB">
        <w:rPr>
          <w:lang w:val="fr-FR"/>
        </w:rPr>
        <w:t xml:space="preserve">our avoir </w:t>
      </w:r>
      <w:r w:rsidR="00B36048" w:rsidRPr="00E267AB">
        <w:rPr>
          <w:lang w:val="fr-FR"/>
        </w:rPr>
        <w:t>soumis</w:t>
      </w:r>
      <w:r w:rsidR="00B2535F" w:rsidRPr="00E267AB">
        <w:rPr>
          <w:lang w:val="fr-FR"/>
        </w:rPr>
        <w:t xml:space="preserve"> sa fille </w:t>
      </w:r>
      <w:r w:rsidR="00B36048" w:rsidRPr="00E267AB">
        <w:rPr>
          <w:lang w:val="fr-FR"/>
        </w:rPr>
        <w:t>à l</w:t>
      </w:r>
      <w:r w:rsidR="00E267AB" w:rsidRPr="00E267AB">
        <w:rPr>
          <w:lang w:val="fr-FR"/>
        </w:rPr>
        <w:t>’</w:t>
      </w:r>
      <w:r w:rsidR="00B36048" w:rsidRPr="00E267AB">
        <w:rPr>
          <w:lang w:val="fr-FR"/>
        </w:rPr>
        <w:t>examen</w:t>
      </w:r>
      <w:r w:rsidR="00B2535F" w:rsidRPr="00E267AB">
        <w:rPr>
          <w:lang w:val="fr-FR"/>
        </w:rPr>
        <w:t xml:space="preserve"> gynécolog</w:t>
      </w:r>
      <w:r w:rsidR="00B36048" w:rsidRPr="00E267AB">
        <w:rPr>
          <w:lang w:val="fr-FR"/>
        </w:rPr>
        <w:t>ique réalisé</w:t>
      </w:r>
      <w:r w:rsidR="00B2535F" w:rsidRPr="00E267AB">
        <w:rPr>
          <w:lang w:val="fr-FR"/>
        </w:rPr>
        <w:t xml:space="preserve"> en mars 2009.</w:t>
      </w:r>
    </w:p>
    <w:p w:rsidR="00B2535F" w:rsidRPr="00E267AB" w:rsidRDefault="00475A69"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32</w:t>
      </w:r>
      <w:r w:rsidRPr="00E267AB">
        <w:rPr>
          <w:lang w:val="fr-FR"/>
        </w:rPr>
        <w:fldChar w:fldCharType="end"/>
      </w:r>
      <w:r w:rsidRPr="00E267AB">
        <w:rPr>
          <w:lang w:val="fr-FR"/>
        </w:rPr>
        <w:t>.  </w:t>
      </w:r>
      <w:r w:rsidR="00B2535F" w:rsidRPr="00E267AB">
        <w:rPr>
          <w:lang w:val="fr-FR"/>
        </w:rPr>
        <w:t>Le 9 novembre 2009, l</w:t>
      </w:r>
      <w:r w:rsidR="00E267AB" w:rsidRPr="00E267AB">
        <w:rPr>
          <w:lang w:val="fr-FR"/>
        </w:rPr>
        <w:t>’</w:t>
      </w:r>
      <w:r w:rsidR="00B2535F" w:rsidRPr="00E267AB">
        <w:rPr>
          <w:lang w:val="fr-FR"/>
        </w:rPr>
        <w:t>enfant fut examinée par le gynécologue nommé par le tribunal. Selon le rapport déposé par ce médecin, S. n</w:t>
      </w:r>
      <w:r w:rsidR="00E267AB" w:rsidRPr="00E267AB">
        <w:rPr>
          <w:lang w:val="fr-FR"/>
        </w:rPr>
        <w:t>’</w:t>
      </w:r>
      <w:r w:rsidR="00B2535F" w:rsidRPr="00E267AB">
        <w:rPr>
          <w:lang w:val="fr-FR"/>
        </w:rPr>
        <w:t>avait subi aucun attouchement sexuel.</w:t>
      </w:r>
    </w:p>
    <w:p w:rsidR="00B2535F" w:rsidRPr="00E267AB" w:rsidRDefault="00475A69"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33</w:t>
      </w:r>
      <w:r w:rsidRPr="00E267AB">
        <w:rPr>
          <w:lang w:val="fr-FR"/>
        </w:rPr>
        <w:fldChar w:fldCharType="end"/>
      </w:r>
      <w:r w:rsidRPr="00E267AB">
        <w:rPr>
          <w:lang w:val="fr-FR"/>
        </w:rPr>
        <w:t>.  </w:t>
      </w:r>
      <w:r w:rsidR="00B2535F" w:rsidRPr="00E267AB">
        <w:rPr>
          <w:lang w:val="fr-FR"/>
        </w:rPr>
        <w:t xml:space="preserve">Le 18 novembre 2009, le tribunal de Pise ordonna que S. </w:t>
      </w:r>
      <w:r w:rsidR="00956ADE" w:rsidRPr="00E267AB">
        <w:rPr>
          <w:lang w:val="fr-FR"/>
        </w:rPr>
        <w:t>fût</w:t>
      </w:r>
      <w:r w:rsidR="00B2535F" w:rsidRPr="00E267AB">
        <w:rPr>
          <w:lang w:val="fr-FR"/>
        </w:rPr>
        <w:t xml:space="preserve"> vaccinée.</w:t>
      </w:r>
    </w:p>
    <w:p w:rsidR="00B2535F" w:rsidRPr="00E267AB" w:rsidRDefault="000E2A18"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34</w:t>
      </w:r>
      <w:r w:rsidRPr="00E267AB">
        <w:rPr>
          <w:lang w:val="fr-FR"/>
        </w:rPr>
        <w:fldChar w:fldCharType="end"/>
      </w:r>
      <w:r w:rsidRPr="00E267AB">
        <w:rPr>
          <w:lang w:val="fr-FR"/>
        </w:rPr>
        <w:t>.  </w:t>
      </w:r>
      <w:r w:rsidR="00956ADE" w:rsidRPr="00E267AB">
        <w:rPr>
          <w:lang w:val="fr-FR"/>
        </w:rPr>
        <w:t>D</w:t>
      </w:r>
      <w:r w:rsidR="00E267AB" w:rsidRPr="00E267AB">
        <w:rPr>
          <w:lang w:val="fr-FR"/>
        </w:rPr>
        <w:t>’</w:t>
      </w:r>
      <w:r w:rsidR="00956ADE" w:rsidRPr="00E267AB">
        <w:rPr>
          <w:lang w:val="fr-FR"/>
        </w:rPr>
        <w:t>après le</w:t>
      </w:r>
      <w:r w:rsidR="00B2535F" w:rsidRPr="00E267AB">
        <w:rPr>
          <w:lang w:val="fr-FR"/>
        </w:rPr>
        <w:t xml:space="preserve"> requérant</w:t>
      </w:r>
      <w:r w:rsidR="00956ADE" w:rsidRPr="00E267AB">
        <w:rPr>
          <w:lang w:val="fr-FR"/>
        </w:rPr>
        <w:t xml:space="preserve">, </w:t>
      </w:r>
      <w:r w:rsidR="00B2535F" w:rsidRPr="00E267AB">
        <w:rPr>
          <w:lang w:val="fr-FR"/>
        </w:rPr>
        <w:t>le déroulement des rencontres était toujours difficile</w:t>
      </w:r>
      <w:r w:rsidR="00956ADE" w:rsidRPr="00E267AB">
        <w:rPr>
          <w:lang w:val="fr-FR"/>
        </w:rPr>
        <w:t xml:space="preserve"> puisque, selon lui,</w:t>
      </w:r>
      <w:r w:rsidR="00B2535F" w:rsidRPr="00E267AB">
        <w:rPr>
          <w:lang w:val="fr-FR"/>
        </w:rPr>
        <w:t xml:space="preserve"> S. ne voulait pas le voir et </w:t>
      </w:r>
      <w:r w:rsidR="00153647" w:rsidRPr="00E267AB">
        <w:rPr>
          <w:lang w:val="fr-FR"/>
        </w:rPr>
        <w:t xml:space="preserve">elle </w:t>
      </w:r>
      <w:r w:rsidR="0031017C" w:rsidRPr="00E267AB">
        <w:rPr>
          <w:lang w:val="fr-FR"/>
        </w:rPr>
        <w:t>quittait</w:t>
      </w:r>
      <w:r w:rsidR="00B2535F" w:rsidRPr="00E267AB">
        <w:rPr>
          <w:lang w:val="fr-FR"/>
        </w:rPr>
        <w:t xml:space="preserve"> la </w:t>
      </w:r>
      <w:r w:rsidR="0031017C" w:rsidRPr="00E267AB">
        <w:rPr>
          <w:lang w:val="fr-FR"/>
        </w:rPr>
        <w:t xml:space="preserve">pièce où se déroulaient les </w:t>
      </w:r>
      <w:r w:rsidR="001E272E" w:rsidRPr="00E267AB">
        <w:rPr>
          <w:lang w:val="fr-FR"/>
        </w:rPr>
        <w:t>visites</w:t>
      </w:r>
      <w:r w:rsidR="00B2535F" w:rsidRPr="00E267AB">
        <w:rPr>
          <w:lang w:val="fr-FR"/>
        </w:rPr>
        <w:t xml:space="preserve"> quand il arrivait.</w:t>
      </w:r>
    </w:p>
    <w:p w:rsidR="00B2535F" w:rsidRPr="00E267AB" w:rsidRDefault="000E2A18"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35</w:t>
      </w:r>
      <w:r w:rsidRPr="00E267AB">
        <w:rPr>
          <w:lang w:val="fr-FR"/>
        </w:rPr>
        <w:fldChar w:fldCharType="end"/>
      </w:r>
      <w:r w:rsidRPr="00E267AB">
        <w:rPr>
          <w:lang w:val="fr-FR"/>
        </w:rPr>
        <w:t>.  </w:t>
      </w:r>
      <w:r w:rsidR="00B2535F" w:rsidRPr="00E267AB">
        <w:rPr>
          <w:lang w:val="fr-FR"/>
        </w:rPr>
        <w:t xml:space="preserve">Le 7 janvier 2010, </w:t>
      </w:r>
      <w:r w:rsidR="0031017C" w:rsidRPr="00E267AB">
        <w:rPr>
          <w:lang w:val="fr-FR"/>
        </w:rPr>
        <w:t>un</w:t>
      </w:r>
      <w:r w:rsidR="00B2535F" w:rsidRPr="00E267AB">
        <w:rPr>
          <w:lang w:val="fr-FR"/>
        </w:rPr>
        <w:t xml:space="preserve"> rapport d</w:t>
      </w:r>
      <w:r w:rsidR="00E267AB" w:rsidRPr="00E267AB">
        <w:rPr>
          <w:lang w:val="fr-FR"/>
        </w:rPr>
        <w:t>’</w:t>
      </w:r>
      <w:r w:rsidR="00B2535F" w:rsidRPr="00E267AB">
        <w:rPr>
          <w:lang w:val="fr-FR"/>
        </w:rPr>
        <w:t xml:space="preserve">expertise psychologique fut remis au tribunal. </w:t>
      </w:r>
      <w:r w:rsidR="00956ADE" w:rsidRPr="00E267AB">
        <w:rPr>
          <w:lang w:val="fr-FR"/>
        </w:rPr>
        <w:t>L</w:t>
      </w:r>
      <w:r w:rsidR="00E267AB" w:rsidRPr="00E267AB">
        <w:rPr>
          <w:lang w:val="fr-FR"/>
        </w:rPr>
        <w:t>’</w:t>
      </w:r>
      <w:r w:rsidR="00956ADE" w:rsidRPr="00E267AB">
        <w:rPr>
          <w:lang w:val="fr-FR"/>
        </w:rPr>
        <w:t>expert</w:t>
      </w:r>
      <w:r w:rsidR="00B2535F" w:rsidRPr="00E267AB">
        <w:rPr>
          <w:lang w:val="fr-FR"/>
        </w:rPr>
        <w:t xml:space="preserve"> concluait que le comportement de N.R. avait </w:t>
      </w:r>
      <w:r w:rsidR="0031017C" w:rsidRPr="00E267AB">
        <w:rPr>
          <w:lang w:val="fr-FR"/>
        </w:rPr>
        <w:t>été préjudi</w:t>
      </w:r>
      <w:r w:rsidR="00956ADE" w:rsidRPr="00E267AB">
        <w:rPr>
          <w:lang w:val="fr-FR"/>
        </w:rPr>
        <w:t>ciable à</w:t>
      </w:r>
      <w:r w:rsidR="00B2535F" w:rsidRPr="00E267AB">
        <w:rPr>
          <w:lang w:val="fr-FR"/>
        </w:rPr>
        <w:t xml:space="preserve"> S. </w:t>
      </w:r>
      <w:r w:rsidR="00956ADE" w:rsidRPr="00E267AB">
        <w:rPr>
          <w:lang w:val="fr-FR"/>
        </w:rPr>
        <w:t>puisqu</w:t>
      </w:r>
      <w:r w:rsidR="00E267AB" w:rsidRPr="00E267AB">
        <w:rPr>
          <w:lang w:val="fr-FR"/>
        </w:rPr>
        <w:t>’</w:t>
      </w:r>
      <w:r w:rsidR="00956ADE" w:rsidRPr="00E267AB">
        <w:rPr>
          <w:lang w:val="fr-FR"/>
        </w:rPr>
        <w:t>il aurait</w:t>
      </w:r>
      <w:r w:rsidR="00B2535F" w:rsidRPr="00E267AB">
        <w:rPr>
          <w:lang w:val="fr-FR"/>
        </w:rPr>
        <w:t xml:space="preserve"> empêch</w:t>
      </w:r>
      <w:r w:rsidR="00956ADE" w:rsidRPr="00E267AB">
        <w:rPr>
          <w:lang w:val="fr-FR"/>
        </w:rPr>
        <w:t>é</w:t>
      </w:r>
      <w:r w:rsidR="00D0679C" w:rsidRPr="00E267AB">
        <w:rPr>
          <w:lang w:val="fr-FR"/>
        </w:rPr>
        <w:t xml:space="preserve"> celle-ci</w:t>
      </w:r>
      <w:r w:rsidR="00B2535F" w:rsidRPr="00E267AB">
        <w:rPr>
          <w:lang w:val="fr-FR"/>
        </w:rPr>
        <w:t xml:space="preserve"> d</w:t>
      </w:r>
      <w:r w:rsidR="00E267AB" w:rsidRPr="00E267AB">
        <w:rPr>
          <w:lang w:val="fr-FR"/>
        </w:rPr>
        <w:t>’</w:t>
      </w:r>
      <w:r w:rsidR="000C6C2D" w:rsidRPr="00E267AB">
        <w:rPr>
          <w:lang w:val="fr-FR"/>
        </w:rPr>
        <w:t>établir</w:t>
      </w:r>
      <w:r w:rsidR="00B2535F" w:rsidRPr="00E267AB">
        <w:rPr>
          <w:lang w:val="fr-FR"/>
        </w:rPr>
        <w:t xml:space="preserve"> une relation avec le requérant. </w:t>
      </w:r>
      <w:r w:rsidR="00D0679C" w:rsidRPr="00E267AB">
        <w:rPr>
          <w:lang w:val="fr-FR"/>
        </w:rPr>
        <w:t>Il indiquait que</w:t>
      </w:r>
      <w:r w:rsidR="00B2535F" w:rsidRPr="00E267AB">
        <w:rPr>
          <w:lang w:val="fr-FR"/>
        </w:rPr>
        <w:t xml:space="preserve"> les déclarations de S. aux services sociaux étaient le résultat d</w:t>
      </w:r>
      <w:r w:rsidR="00E267AB" w:rsidRPr="00E267AB">
        <w:rPr>
          <w:lang w:val="fr-FR"/>
        </w:rPr>
        <w:t>’</w:t>
      </w:r>
      <w:r w:rsidR="00D0679C" w:rsidRPr="00E267AB">
        <w:rPr>
          <w:lang w:val="fr-FR"/>
        </w:rPr>
        <w:t>une</w:t>
      </w:r>
      <w:r w:rsidR="00B2535F" w:rsidRPr="00E267AB">
        <w:rPr>
          <w:lang w:val="fr-FR"/>
        </w:rPr>
        <w:t xml:space="preserve"> manipulation psychique </w:t>
      </w:r>
      <w:r w:rsidR="00D0679C" w:rsidRPr="00E267AB">
        <w:rPr>
          <w:lang w:val="fr-FR"/>
        </w:rPr>
        <w:t xml:space="preserve">exercée par </w:t>
      </w:r>
      <w:r w:rsidR="0031017C" w:rsidRPr="00E267AB">
        <w:rPr>
          <w:lang w:val="fr-FR"/>
        </w:rPr>
        <w:t>l</w:t>
      </w:r>
      <w:r w:rsidR="00B2535F" w:rsidRPr="00E267AB">
        <w:rPr>
          <w:lang w:val="fr-FR"/>
        </w:rPr>
        <w:t xml:space="preserve">a mère. Il </w:t>
      </w:r>
      <w:r w:rsidR="009355D2" w:rsidRPr="00E267AB">
        <w:rPr>
          <w:lang w:val="fr-FR"/>
        </w:rPr>
        <w:t>précis</w:t>
      </w:r>
      <w:r w:rsidR="00D0679C" w:rsidRPr="00E267AB">
        <w:rPr>
          <w:lang w:val="fr-FR"/>
        </w:rPr>
        <w:t>ait qu</w:t>
      </w:r>
      <w:r w:rsidR="00E267AB" w:rsidRPr="00E267AB">
        <w:rPr>
          <w:lang w:val="fr-FR"/>
        </w:rPr>
        <w:t>’</w:t>
      </w:r>
      <w:r w:rsidR="00D0679C" w:rsidRPr="00E267AB">
        <w:rPr>
          <w:lang w:val="fr-FR"/>
        </w:rPr>
        <w:t xml:space="preserve">il </w:t>
      </w:r>
      <w:r w:rsidR="00B2535F" w:rsidRPr="00E267AB">
        <w:rPr>
          <w:lang w:val="fr-FR"/>
        </w:rPr>
        <w:t>n</w:t>
      </w:r>
      <w:r w:rsidR="00E267AB" w:rsidRPr="00E267AB">
        <w:rPr>
          <w:lang w:val="fr-FR"/>
        </w:rPr>
        <w:t>’</w:t>
      </w:r>
      <w:r w:rsidR="00B2535F" w:rsidRPr="00E267AB">
        <w:rPr>
          <w:lang w:val="fr-FR"/>
        </w:rPr>
        <w:t>y avait pas encore en l</w:t>
      </w:r>
      <w:r w:rsidR="00E267AB" w:rsidRPr="00E267AB">
        <w:rPr>
          <w:lang w:val="fr-FR"/>
        </w:rPr>
        <w:t>’</w:t>
      </w:r>
      <w:r w:rsidR="00B2535F" w:rsidRPr="00E267AB">
        <w:rPr>
          <w:lang w:val="fr-FR"/>
        </w:rPr>
        <w:t xml:space="preserve">espèce </w:t>
      </w:r>
      <w:r w:rsidR="0031017C" w:rsidRPr="00E267AB">
        <w:rPr>
          <w:lang w:val="fr-FR"/>
        </w:rPr>
        <w:t>de</w:t>
      </w:r>
      <w:r w:rsidR="00B2535F" w:rsidRPr="00E267AB">
        <w:rPr>
          <w:lang w:val="fr-FR"/>
        </w:rPr>
        <w:t xml:space="preserve"> syndrome d</w:t>
      </w:r>
      <w:r w:rsidR="00E267AB" w:rsidRPr="00E267AB">
        <w:rPr>
          <w:lang w:val="fr-FR"/>
        </w:rPr>
        <w:t>’</w:t>
      </w:r>
      <w:r w:rsidR="00B2535F" w:rsidRPr="00E267AB">
        <w:rPr>
          <w:lang w:val="fr-FR"/>
        </w:rPr>
        <w:t>aliénation parental</w:t>
      </w:r>
      <w:r w:rsidR="00531BEE" w:rsidRPr="00E267AB">
        <w:rPr>
          <w:lang w:val="fr-FR"/>
        </w:rPr>
        <w:t>e</w:t>
      </w:r>
      <w:r w:rsidR="00B2535F" w:rsidRPr="00E267AB">
        <w:rPr>
          <w:lang w:val="fr-FR"/>
        </w:rPr>
        <w:t xml:space="preserve"> mais </w:t>
      </w:r>
      <w:r w:rsidR="00D0679C" w:rsidRPr="00E267AB">
        <w:rPr>
          <w:lang w:val="fr-FR"/>
        </w:rPr>
        <w:t>qu</w:t>
      </w:r>
      <w:r w:rsidR="00E267AB" w:rsidRPr="00E267AB">
        <w:rPr>
          <w:lang w:val="fr-FR"/>
        </w:rPr>
        <w:t>’</w:t>
      </w:r>
      <w:r w:rsidR="00B2535F" w:rsidRPr="00E267AB">
        <w:rPr>
          <w:lang w:val="fr-FR"/>
        </w:rPr>
        <w:t xml:space="preserve">il était nécessaire de mettre </w:t>
      </w:r>
      <w:r w:rsidR="006F3E6D" w:rsidRPr="00E267AB">
        <w:rPr>
          <w:lang w:val="fr-FR"/>
        </w:rPr>
        <w:t>e</w:t>
      </w:r>
      <w:r w:rsidR="00B2535F" w:rsidRPr="00E267AB">
        <w:rPr>
          <w:lang w:val="fr-FR"/>
        </w:rPr>
        <w:t>n place un soutien psychologique pour l</w:t>
      </w:r>
      <w:r w:rsidR="00E267AB" w:rsidRPr="00E267AB">
        <w:rPr>
          <w:lang w:val="fr-FR"/>
        </w:rPr>
        <w:t>’</w:t>
      </w:r>
      <w:r w:rsidR="00B2535F" w:rsidRPr="00E267AB">
        <w:rPr>
          <w:lang w:val="fr-FR"/>
        </w:rPr>
        <w:t xml:space="preserve">enfant. </w:t>
      </w:r>
      <w:r w:rsidR="009355D2" w:rsidRPr="00E267AB">
        <w:rPr>
          <w:lang w:val="fr-FR"/>
        </w:rPr>
        <w:t xml:space="preserve">Il ajoutait que S. vivait toujours avec N.R. et que, par conséquent, </w:t>
      </w:r>
      <w:r w:rsidR="00B2535F" w:rsidRPr="00E267AB">
        <w:rPr>
          <w:lang w:val="fr-FR"/>
        </w:rPr>
        <w:t>les mesures prises par le tribunal n</w:t>
      </w:r>
      <w:r w:rsidR="00E267AB" w:rsidRPr="00E267AB">
        <w:rPr>
          <w:lang w:val="fr-FR"/>
        </w:rPr>
        <w:t>’</w:t>
      </w:r>
      <w:r w:rsidR="00B2535F" w:rsidRPr="00E267AB">
        <w:rPr>
          <w:lang w:val="fr-FR"/>
        </w:rPr>
        <w:t xml:space="preserve">étaient pas effectives. </w:t>
      </w:r>
      <w:r w:rsidR="009355D2" w:rsidRPr="00E267AB">
        <w:rPr>
          <w:lang w:val="fr-FR"/>
        </w:rPr>
        <w:t>Il indiquait enfin que</w:t>
      </w:r>
      <w:r w:rsidR="00D1248D" w:rsidRPr="00E267AB">
        <w:rPr>
          <w:lang w:val="fr-FR"/>
        </w:rPr>
        <w:t xml:space="preserve"> </w:t>
      </w:r>
      <w:r w:rsidR="009355D2" w:rsidRPr="00E267AB">
        <w:rPr>
          <w:lang w:val="fr-FR"/>
        </w:rPr>
        <w:t>l</w:t>
      </w:r>
      <w:r w:rsidR="00B2535F" w:rsidRPr="00E267AB">
        <w:rPr>
          <w:lang w:val="fr-FR"/>
        </w:rPr>
        <w:t xml:space="preserve">a solution </w:t>
      </w:r>
      <w:r w:rsidR="0031017C" w:rsidRPr="00E267AB">
        <w:rPr>
          <w:lang w:val="fr-FR"/>
        </w:rPr>
        <w:t>consisterait en l</w:t>
      </w:r>
      <w:r w:rsidR="00E267AB" w:rsidRPr="00E267AB">
        <w:rPr>
          <w:lang w:val="fr-FR"/>
        </w:rPr>
        <w:t>’</w:t>
      </w:r>
      <w:r w:rsidR="00806C53" w:rsidRPr="00E267AB">
        <w:rPr>
          <w:lang w:val="fr-FR"/>
        </w:rPr>
        <w:t xml:space="preserve">octroi </w:t>
      </w:r>
      <w:r w:rsidR="00B2535F" w:rsidRPr="00E267AB">
        <w:rPr>
          <w:lang w:val="fr-FR"/>
        </w:rPr>
        <w:t>de la garde de S. aux grands-parents paternels</w:t>
      </w:r>
      <w:r w:rsidR="00D1248D" w:rsidRPr="00E267AB">
        <w:rPr>
          <w:lang w:val="fr-FR"/>
        </w:rPr>
        <w:t>, parallèlement à la mise en place du soutien psychologique préconisé</w:t>
      </w:r>
      <w:r w:rsidR="00B2535F" w:rsidRPr="00E267AB">
        <w:rPr>
          <w:lang w:val="fr-FR"/>
        </w:rPr>
        <w:t>.</w:t>
      </w:r>
    </w:p>
    <w:p w:rsidR="00B2535F" w:rsidRPr="00E267AB" w:rsidRDefault="000E2A18"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36</w:t>
      </w:r>
      <w:r w:rsidRPr="00E267AB">
        <w:rPr>
          <w:lang w:val="fr-FR"/>
        </w:rPr>
        <w:fldChar w:fldCharType="end"/>
      </w:r>
      <w:r w:rsidRPr="00E267AB">
        <w:rPr>
          <w:lang w:val="fr-FR"/>
        </w:rPr>
        <w:t>.  </w:t>
      </w:r>
      <w:r w:rsidR="00B2535F" w:rsidRPr="00E267AB">
        <w:rPr>
          <w:lang w:val="fr-FR"/>
        </w:rPr>
        <w:t>Le 26 février 2010, le tribunal de Pise prononça la séparation de corps entre le requérant et N.R. et confia la garde de S. aux deux parents conjointement</w:t>
      </w:r>
      <w:r w:rsidR="00F904A5" w:rsidRPr="00E267AB">
        <w:rPr>
          <w:lang w:val="fr-FR"/>
        </w:rPr>
        <w:t>. I</w:t>
      </w:r>
      <w:r w:rsidR="00B2535F" w:rsidRPr="00E267AB">
        <w:rPr>
          <w:lang w:val="fr-FR"/>
        </w:rPr>
        <w:t>l fixa toutefois la résidence principale de l</w:t>
      </w:r>
      <w:r w:rsidR="00E267AB" w:rsidRPr="00E267AB">
        <w:rPr>
          <w:lang w:val="fr-FR"/>
        </w:rPr>
        <w:t>’</w:t>
      </w:r>
      <w:r w:rsidR="00B2535F" w:rsidRPr="00E267AB">
        <w:rPr>
          <w:lang w:val="fr-FR"/>
        </w:rPr>
        <w:t>enfant chez N.R.</w:t>
      </w:r>
      <w:r w:rsidR="00F904A5" w:rsidRPr="00E267AB">
        <w:rPr>
          <w:lang w:val="fr-FR"/>
        </w:rPr>
        <w:t xml:space="preserve">, après avoir </w:t>
      </w:r>
      <w:r w:rsidR="00B2535F" w:rsidRPr="00E267AB">
        <w:rPr>
          <w:lang w:val="fr-FR"/>
        </w:rPr>
        <w:t>observ</w:t>
      </w:r>
      <w:r w:rsidR="00F904A5" w:rsidRPr="00E267AB">
        <w:rPr>
          <w:lang w:val="fr-FR"/>
        </w:rPr>
        <w:t>é</w:t>
      </w:r>
      <w:r w:rsidR="00B2535F" w:rsidRPr="00E267AB">
        <w:rPr>
          <w:lang w:val="fr-FR"/>
        </w:rPr>
        <w:t xml:space="preserve"> que cette dernière était la personne de référence pour S. et que </w:t>
      </w:r>
      <w:r w:rsidR="009355D2" w:rsidRPr="00E267AB">
        <w:rPr>
          <w:lang w:val="fr-FR"/>
        </w:rPr>
        <w:t>l</w:t>
      </w:r>
      <w:r w:rsidR="00E267AB" w:rsidRPr="00E267AB">
        <w:rPr>
          <w:lang w:val="fr-FR"/>
        </w:rPr>
        <w:t>’</w:t>
      </w:r>
      <w:r w:rsidR="00B2535F" w:rsidRPr="00E267AB">
        <w:rPr>
          <w:lang w:val="fr-FR"/>
        </w:rPr>
        <w:t xml:space="preserve">intérêt </w:t>
      </w:r>
      <w:r w:rsidR="009355D2" w:rsidRPr="00E267AB">
        <w:rPr>
          <w:lang w:val="fr-FR"/>
        </w:rPr>
        <w:t>de l</w:t>
      </w:r>
      <w:r w:rsidR="00E267AB" w:rsidRPr="00E267AB">
        <w:rPr>
          <w:lang w:val="fr-FR"/>
        </w:rPr>
        <w:t>’</w:t>
      </w:r>
      <w:r w:rsidR="009355D2" w:rsidRPr="00E267AB">
        <w:rPr>
          <w:lang w:val="fr-FR"/>
        </w:rPr>
        <w:t xml:space="preserve">enfant </w:t>
      </w:r>
      <w:r w:rsidR="00B2535F" w:rsidRPr="00E267AB">
        <w:rPr>
          <w:lang w:val="fr-FR"/>
        </w:rPr>
        <w:t xml:space="preserve">était de rester avec sa mère. </w:t>
      </w:r>
      <w:r w:rsidR="00F904A5" w:rsidRPr="00E267AB">
        <w:rPr>
          <w:lang w:val="fr-FR"/>
        </w:rPr>
        <w:t xml:space="preserve">En outre, relevant que </w:t>
      </w:r>
      <w:r w:rsidR="00B2535F" w:rsidRPr="00E267AB">
        <w:rPr>
          <w:lang w:val="fr-FR"/>
        </w:rPr>
        <w:t>le père était en mesure d</w:t>
      </w:r>
      <w:r w:rsidR="00E267AB" w:rsidRPr="00E267AB">
        <w:rPr>
          <w:lang w:val="fr-FR"/>
        </w:rPr>
        <w:t>’</w:t>
      </w:r>
      <w:r w:rsidR="00B2535F" w:rsidRPr="00E267AB">
        <w:rPr>
          <w:lang w:val="fr-FR"/>
        </w:rPr>
        <w:t>exercer son rôle parental et de comprendre les besoins de S.</w:t>
      </w:r>
      <w:r w:rsidR="00F904A5" w:rsidRPr="00E267AB">
        <w:rPr>
          <w:lang w:val="fr-FR"/>
        </w:rPr>
        <w:t>, l</w:t>
      </w:r>
      <w:r w:rsidR="00B2535F" w:rsidRPr="00E267AB">
        <w:rPr>
          <w:lang w:val="fr-FR"/>
        </w:rPr>
        <w:t xml:space="preserve">e tribunal ordonna </w:t>
      </w:r>
      <w:r w:rsidR="00BA366A" w:rsidRPr="00E267AB">
        <w:rPr>
          <w:lang w:val="fr-FR"/>
        </w:rPr>
        <w:t>l</w:t>
      </w:r>
      <w:r w:rsidR="00E267AB" w:rsidRPr="00E267AB">
        <w:rPr>
          <w:lang w:val="fr-FR"/>
        </w:rPr>
        <w:t>’</w:t>
      </w:r>
      <w:r w:rsidR="00B2535F" w:rsidRPr="00E267AB">
        <w:rPr>
          <w:lang w:val="fr-FR"/>
        </w:rPr>
        <w:t>élargi</w:t>
      </w:r>
      <w:r w:rsidR="00BA366A" w:rsidRPr="00E267AB">
        <w:rPr>
          <w:lang w:val="fr-FR"/>
        </w:rPr>
        <w:t>ssement du</w:t>
      </w:r>
      <w:r w:rsidR="00B2535F" w:rsidRPr="00E267AB">
        <w:rPr>
          <w:lang w:val="fr-FR"/>
        </w:rPr>
        <w:t xml:space="preserve"> droit de visite et d</w:t>
      </w:r>
      <w:r w:rsidR="00E267AB" w:rsidRPr="00E267AB">
        <w:rPr>
          <w:lang w:val="fr-FR"/>
        </w:rPr>
        <w:t>’</w:t>
      </w:r>
      <w:r w:rsidR="00B2535F" w:rsidRPr="00E267AB">
        <w:rPr>
          <w:lang w:val="fr-FR"/>
        </w:rPr>
        <w:t>hébergement du requérant</w:t>
      </w:r>
      <w:r w:rsidR="00BA366A" w:rsidRPr="00E267AB">
        <w:rPr>
          <w:lang w:val="fr-FR"/>
        </w:rPr>
        <w:t xml:space="preserve"> et, à cet effet, il</w:t>
      </w:r>
      <w:r w:rsidR="00B2535F" w:rsidRPr="00E267AB">
        <w:rPr>
          <w:lang w:val="fr-FR"/>
        </w:rPr>
        <w:t xml:space="preserve"> établit un calendrier des rencontres. </w:t>
      </w:r>
      <w:r w:rsidR="00F904A5" w:rsidRPr="00E267AB">
        <w:rPr>
          <w:lang w:val="fr-FR"/>
        </w:rPr>
        <w:t>Enfin, l</w:t>
      </w:r>
      <w:r w:rsidR="00B2535F" w:rsidRPr="00E267AB">
        <w:rPr>
          <w:lang w:val="fr-FR"/>
        </w:rPr>
        <w:t>e tribunal souligna qu</w:t>
      </w:r>
      <w:r w:rsidR="00BA366A" w:rsidRPr="00E267AB">
        <w:rPr>
          <w:lang w:val="fr-FR"/>
        </w:rPr>
        <w:t xml:space="preserve">e, </w:t>
      </w:r>
      <w:r w:rsidR="00B2535F" w:rsidRPr="00E267AB">
        <w:rPr>
          <w:lang w:val="fr-FR"/>
        </w:rPr>
        <w:t>en cas de non-respect de</w:t>
      </w:r>
      <w:r w:rsidR="00F904A5" w:rsidRPr="00E267AB">
        <w:rPr>
          <w:lang w:val="fr-FR"/>
        </w:rPr>
        <w:t xml:space="preserve"> ce</w:t>
      </w:r>
      <w:r w:rsidR="00B2535F" w:rsidRPr="00E267AB">
        <w:rPr>
          <w:lang w:val="fr-FR"/>
        </w:rPr>
        <w:t xml:space="preserve">s prescriptions </w:t>
      </w:r>
      <w:r w:rsidR="00BA366A" w:rsidRPr="00E267AB">
        <w:rPr>
          <w:lang w:val="fr-FR"/>
        </w:rPr>
        <w:t>par</w:t>
      </w:r>
      <w:r w:rsidR="00B2535F" w:rsidRPr="00E267AB">
        <w:rPr>
          <w:lang w:val="fr-FR"/>
        </w:rPr>
        <w:t xml:space="preserve"> la mère</w:t>
      </w:r>
      <w:r w:rsidR="00BA366A" w:rsidRPr="00E267AB">
        <w:rPr>
          <w:lang w:val="fr-FR"/>
        </w:rPr>
        <w:t>,</w:t>
      </w:r>
      <w:r w:rsidR="00B2535F" w:rsidRPr="00E267AB">
        <w:rPr>
          <w:lang w:val="fr-FR"/>
        </w:rPr>
        <w:t xml:space="preserve"> la garde de l</w:t>
      </w:r>
      <w:r w:rsidR="00E267AB" w:rsidRPr="00E267AB">
        <w:rPr>
          <w:lang w:val="fr-FR"/>
        </w:rPr>
        <w:t>’</w:t>
      </w:r>
      <w:r w:rsidR="00B2535F" w:rsidRPr="00E267AB">
        <w:rPr>
          <w:lang w:val="fr-FR"/>
        </w:rPr>
        <w:t xml:space="preserve">enfant serait exclusivement </w:t>
      </w:r>
      <w:r w:rsidR="00BA366A" w:rsidRPr="00E267AB">
        <w:rPr>
          <w:lang w:val="fr-FR"/>
        </w:rPr>
        <w:t xml:space="preserve">confiée </w:t>
      </w:r>
      <w:r w:rsidR="00B2535F" w:rsidRPr="00E267AB">
        <w:rPr>
          <w:lang w:val="fr-FR"/>
        </w:rPr>
        <w:t>au père.</w:t>
      </w:r>
    </w:p>
    <w:p w:rsidR="00B2535F" w:rsidRPr="00E267AB" w:rsidRDefault="000E2A18" w:rsidP="00E267AB">
      <w:pPr>
        <w:pStyle w:val="ECHRPara"/>
        <w:rPr>
          <w:lang w:val="fr-FR"/>
        </w:rPr>
      </w:pPr>
      <w:r w:rsidRPr="00E267AB">
        <w:rPr>
          <w:lang w:val="fr-FR"/>
        </w:rPr>
        <w:lastRenderedPageBreak/>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37</w:t>
      </w:r>
      <w:r w:rsidRPr="00E267AB">
        <w:rPr>
          <w:lang w:val="fr-FR"/>
        </w:rPr>
        <w:fldChar w:fldCharType="end"/>
      </w:r>
      <w:r w:rsidRPr="00E267AB">
        <w:rPr>
          <w:lang w:val="fr-FR"/>
        </w:rPr>
        <w:t>.  </w:t>
      </w:r>
      <w:r w:rsidR="00B2535F" w:rsidRPr="00E267AB">
        <w:rPr>
          <w:lang w:val="fr-FR"/>
        </w:rPr>
        <w:t xml:space="preserve">Le requérant ne réussit pas à exercer son droit de visite </w:t>
      </w:r>
      <w:r w:rsidR="00BA366A" w:rsidRPr="00E267AB">
        <w:rPr>
          <w:lang w:val="fr-FR"/>
        </w:rPr>
        <w:t>en raison</w:t>
      </w:r>
      <w:r w:rsidR="00B2535F" w:rsidRPr="00E267AB">
        <w:rPr>
          <w:lang w:val="fr-FR"/>
        </w:rPr>
        <w:t xml:space="preserve"> du comportement de N.R.</w:t>
      </w:r>
      <w:r w:rsidR="00BA366A" w:rsidRPr="00E267AB">
        <w:rPr>
          <w:lang w:val="fr-FR"/>
        </w:rPr>
        <w:t>, laquelle</w:t>
      </w:r>
      <w:r w:rsidR="00B2535F" w:rsidRPr="00E267AB">
        <w:rPr>
          <w:lang w:val="fr-FR"/>
        </w:rPr>
        <w:t xml:space="preserve"> s</w:t>
      </w:r>
      <w:r w:rsidR="00E267AB" w:rsidRPr="00E267AB">
        <w:rPr>
          <w:lang w:val="fr-FR"/>
        </w:rPr>
        <w:t>’</w:t>
      </w:r>
      <w:r w:rsidR="00B2535F" w:rsidRPr="00E267AB">
        <w:rPr>
          <w:lang w:val="fr-FR"/>
        </w:rPr>
        <w:t xml:space="preserve">opposait à tout contact entre </w:t>
      </w:r>
      <w:r w:rsidR="00BA366A" w:rsidRPr="00E267AB">
        <w:rPr>
          <w:lang w:val="fr-FR"/>
        </w:rPr>
        <w:t>lui</w:t>
      </w:r>
      <w:r w:rsidR="00B2535F" w:rsidRPr="00E267AB">
        <w:rPr>
          <w:lang w:val="fr-FR"/>
        </w:rPr>
        <w:t xml:space="preserve"> et </w:t>
      </w:r>
      <w:r w:rsidR="00BA366A" w:rsidRPr="00E267AB">
        <w:rPr>
          <w:lang w:val="fr-FR"/>
        </w:rPr>
        <w:t>l</w:t>
      </w:r>
      <w:r w:rsidR="00E267AB" w:rsidRPr="00E267AB">
        <w:rPr>
          <w:lang w:val="fr-FR"/>
        </w:rPr>
        <w:t>’</w:t>
      </w:r>
      <w:r w:rsidR="00BA366A" w:rsidRPr="00E267AB">
        <w:rPr>
          <w:lang w:val="fr-FR"/>
        </w:rPr>
        <w:t>enfant</w:t>
      </w:r>
      <w:r w:rsidR="00B2535F" w:rsidRPr="00E267AB">
        <w:rPr>
          <w:lang w:val="fr-FR"/>
        </w:rPr>
        <w:t>.</w:t>
      </w:r>
    </w:p>
    <w:p w:rsidR="00B2535F" w:rsidRPr="00E267AB" w:rsidRDefault="000E2A18"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38</w:t>
      </w:r>
      <w:r w:rsidRPr="00E267AB">
        <w:rPr>
          <w:lang w:val="fr-FR"/>
        </w:rPr>
        <w:fldChar w:fldCharType="end"/>
      </w:r>
      <w:r w:rsidRPr="00E267AB">
        <w:rPr>
          <w:lang w:val="fr-FR"/>
        </w:rPr>
        <w:t>.  </w:t>
      </w:r>
      <w:r w:rsidR="00B2535F" w:rsidRPr="00E267AB">
        <w:rPr>
          <w:lang w:val="fr-FR"/>
        </w:rPr>
        <w:t>Le 3 août 2010, le requérant demanda l</w:t>
      </w:r>
      <w:r w:rsidR="00E267AB" w:rsidRPr="00E267AB">
        <w:rPr>
          <w:lang w:val="fr-FR"/>
        </w:rPr>
        <w:t>’</w:t>
      </w:r>
      <w:r w:rsidR="00B2535F" w:rsidRPr="00E267AB">
        <w:rPr>
          <w:lang w:val="fr-FR"/>
        </w:rPr>
        <w:t>exé</w:t>
      </w:r>
      <w:r w:rsidRPr="00E267AB">
        <w:rPr>
          <w:lang w:val="fr-FR"/>
        </w:rPr>
        <w:t xml:space="preserve">cution du jugement du tribunal </w:t>
      </w:r>
      <w:r w:rsidR="00B2535F" w:rsidRPr="00E267AB">
        <w:rPr>
          <w:lang w:val="fr-FR"/>
        </w:rPr>
        <w:t xml:space="preserve">de Pise. Par une décision du même jour, </w:t>
      </w:r>
      <w:r w:rsidR="000F2ECA" w:rsidRPr="00E267AB">
        <w:rPr>
          <w:lang w:val="fr-FR"/>
        </w:rPr>
        <w:t>c</w:t>
      </w:r>
      <w:r w:rsidR="00B2535F" w:rsidRPr="00E267AB">
        <w:rPr>
          <w:lang w:val="fr-FR"/>
        </w:rPr>
        <w:t>e</w:t>
      </w:r>
      <w:r w:rsidR="00642703" w:rsidRPr="00E267AB">
        <w:rPr>
          <w:lang w:val="fr-FR"/>
        </w:rPr>
        <w:t>lui-ci</w:t>
      </w:r>
      <w:r w:rsidR="00B2535F" w:rsidRPr="00E267AB">
        <w:rPr>
          <w:lang w:val="fr-FR"/>
        </w:rPr>
        <w:t xml:space="preserve"> accueillit sa demande et établit que l</w:t>
      </w:r>
      <w:r w:rsidR="00E267AB" w:rsidRPr="00E267AB">
        <w:rPr>
          <w:lang w:val="fr-FR"/>
        </w:rPr>
        <w:t>’</w:t>
      </w:r>
      <w:r w:rsidR="00445DB6" w:rsidRPr="00E267AB">
        <w:rPr>
          <w:lang w:val="fr-FR"/>
        </w:rPr>
        <w:t>intéressé</w:t>
      </w:r>
      <w:r w:rsidR="00B2535F" w:rsidRPr="00E267AB">
        <w:rPr>
          <w:lang w:val="fr-FR"/>
        </w:rPr>
        <w:t xml:space="preserve"> pouvait</w:t>
      </w:r>
      <w:r w:rsidR="001F11CC" w:rsidRPr="00E267AB">
        <w:rPr>
          <w:lang w:val="fr-FR"/>
        </w:rPr>
        <w:t xml:space="preserve"> solliciter l</w:t>
      </w:r>
      <w:r w:rsidR="00E267AB" w:rsidRPr="00E267AB">
        <w:rPr>
          <w:lang w:val="fr-FR"/>
        </w:rPr>
        <w:t>’</w:t>
      </w:r>
      <w:r w:rsidR="001F11CC" w:rsidRPr="00E267AB">
        <w:rPr>
          <w:lang w:val="fr-FR"/>
        </w:rPr>
        <w:t>aide de</w:t>
      </w:r>
      <w:r w:rsidR="00B2535F" w:rsidRPr="00E267AB">
        <w:rPr>
          <w:lang w:val="fr-FR"/>
        </w:rPr>
        <w:t xml:space="preserve"> la police pour faire respecter son droit de visite tel qu</w:t>
      </w:r>
      <w:r w:rsidR="00E267AB" w:rsidRPr="00E267AB">
        <w:rPr>
          <w:lang w:val="fr-FR"/>
        </w:rPr>
        <w:t>’</w:t>
      </w:r>
      <w:r w:rsidR="00B2535F" w:rsidRPr="00E267AB">
        <w:rPr>
          <w:lang w:val="fr-FR"/>
        </w:rPr>
        <w:t xml:space="preserve">il avait été </w:t>
      </w:r>
      <w:r w:rsidR="00445DB6" w:rsidRPr="00E267AB">
        <w:rPr>
          <w:lang w:val="fr-FR"/>
        </w:rPr>
        <w:t>déterminé</w:t>
      </w:r>
      <w:r w:rsidR="00B2535F" w:rsidRPr="00E267AB">
        <w:rPr>
          <w:lang w:val="fr-FR"/>
        </w:rPr>
        <w:t xml:space="preserve"> dans le jugement </w:t>
      </w:r>
      <w:r w:rsidR="00445DB6" w:rsidRPr="00E267AB">
        <w:rPr>
          <w:lang w:val="fr-FR"/>
        </w:rPr>
        <w:t>en question</w:t>
      </w:r>
      <w:r w:rsidR="00B2535F" w:rsidRPr="00E267AB">
        <w:rPr>
          <w:lang w:val="fr-FR"/>
        </w:rPr>
        <w:t>. Le tribunal enjoignit à N.R. de respecter ses prescriptions.</w:t>
      </w:r>
    </w:p>
    <w:p w:rsidR="00B2535F" w:rsidRPr="00E267AB" w:rsidRDefault="000E2A18"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39</w:t>
      </w:r>
      <w:r w:rsidRPr="00E267AB">
        <w:rPr>
          <w:lang w:val="fr-FR"/>
        </w:rPr>
        <w:fldChar w:fldCharType="end"/>
      </w:r>
      <w:r w:rsidRPr="00E267AB">
        <w:rPr>
          <w:lang w:val="fr-FR"/>
        </w:rPr>
        <w:t>.  </w:t>
      </w:r>
      <w:r w:rsidR="00B2535F" w:rsidRPr="00E267AB">
        <w:rPr>
          <w:lang w:val="fr-FR"/>
        </w:rPr>
        <w:t xml:space="preserve">N.R. interjeta appel du jugement </w:t>
      </w:r>
      <w:r w:rsidR="00C3730C" w:rsidRPr="00E267AB">
        <w:rPr>
          <w:lang w:val="fr-FR"/>
        </w:rPr>
        <w:t xml:space="preserve">en question </w:t>
      </w:r>
      <w:r w:rsidR="00B2535F" w:rsidRPr="00E267AB">
        <w:rPr>
          <w:lang w:val="fr-FR"/>
        </w:rPr>
        <w:t xml:space="preserve">et de la décision qui rendait </w:t>
      </w:r>
      <w:r w:rsidR="00642703" w:rsidRPr="00E267AB">
        <w:rPr>
          <w:lang w:val="fr-FR"/>
        </w:rPr>
        <w:t xml:space="preserve">celui-ci </w:t>
      </w:r>
      <w:r w:rsidR="00B2535F" w:rsidRPr="00E267AB">
        <w:rPr>
          <w:lang w:val="fr-FR"/>
        </w:rPr>
        <w:t>exécutoire.</w:t>
      </w:r>
    </w:p>
    <w:p w:rsidR="00B2535F" w:rsidRPr="00E267AB" w:rsidRDefault="000E2A18"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40</w:t>
      </w:r>
      <w:r w:rsidRPr="00E267AB">
        <w:rPr>
          <w:lang w:val="fr-FR"/>
        </w:rPr>
        <w:fldChar w:fldCharType="end"/>
      </w:r>
      <w:r w:rsidRPr="00E267AB">
        <w:rPr>
          <w:lang w:val="fr-FR"/>
        </w:rPr>
        <w:t>.  </w:t>
      </w:r>
      <w:r w:rsidR="00B2535F" w:rsidRPr="00E267AB">
        <w:rPr>
          <w:lang w:val="fr-FR"/>
        </w:rPr>
        <w:t>Le 22 octobre 2010, le requérant</w:t>
      </w:r>
      <w:r w:rsidR="00445DB6" w:rsidRPr="00E267AB">
        <w:rPr>
          <w:lang w:val="fr-FR"/>
        </w:rPr>
        <w:t xml:space="preserve"> </w:t>
      </w:r>
      <w:r w:rsidR="00B2535F" w:rsidRPr="00E267AB">
        <w:rPr>
          <w:lang w:val="fr-FR"/>
        </w:rPr>
        <w:t xml:space="preserve">saisit le tribunal pour enfants de Florence </w:t>
      </w:r>
      <w:r w:rsidR="00445DB6" w:rsidRPr="00E267AB">
        <w:rPr>
          <w:lang w:val="fr-FR"/>
        </w:rPr>
        <w:t>d</w:t>
      </w:r>
      <w:r w:rsidR="00E267AB" w:rsidRPr="00E267AB">
        <w:rPr>
          <w:lang w:val="fr-FR"/>
        </w:rPr>
        <w:t>’</w:t>
      </w:r>
      <w:r w:rsidR="00445DB6" w:rsidRPr="00E267AB">
        <w:rPr>
          <w:lang w:val="fr-FR"/>
        </w:rPr>
        <w:t xml:space="preserve">une demande </w:t>
      </w:r>
      <w:r w:rsidR="00B2535F" w:rsidRPr="00E267AB">
        <w:rPr>
          <w:lang w:val="fr-FR"/>
        </w:rPr>
        <w:t>de déch</w:t>
      </w:r>
      <w:r w:rsidR="00445DB6" w:rsidRPr="00E267AB">
        <w:rPr>
          <w:lang w:val="fr-FR"/>
        </w:rPr>
        <w:t>éance de</w:t>
      </w:r>
      <w:r w:rsidR="00B2535F" w:rsidRPr="00E267AB">
        <w:rPr>
          <w:lang w:val="fr-FR"/>
        </w:rPr>
        <w:t xml:space="preserve"> </w:t>
      </w:r>
      <w:r w:rsidR="00642703" w:rsidRPr="00E267AB">
        <w:rPr>
          <w:lang w:val="fr-FR"/>
        </w:rPr>
        <w:t>l</w:t>
      </w:r>
      <w:r w:rsidR="00E267AB" w:rsidRPr="00E267AB">
        <w:rPr>
          <w:lang w:val="fr-FR"/>
        </w:rPr>
        <w:t>’</w:t>
      </w:r>
      <w:r w:rsidR="00B2535F" w:rsidRPr="00E267AB">
        <w:rPr>
          <w:lang w:val="fr-FR"/>
        </w:rPr>
        <w:t>autorité parentale</w:t>
      </w:r>
      <w:r w:rsidR="00445DB6" w:rsidRPr="00E267AB">
        <w:rPr>
          <w:lang w:val="fr-FR"/>
        </w:rPr>
        <w:t xml:space="preserve"> de N.R. aux motifs qu</w:t>
      </w:r>
      <w:r w:rsidR="00E267AB" w:rsidRPr="00E267AB">
        <w:rPr>
          <w:lang w:val="fr-FR"/>
        </w:rPr>
        <w:t>’</w:t>
      </w:r>
      <w:r w:rsidR="00445DB6" w:rsidRPr="00E267AB">
        <w:rPr>
          <w:lang w:val="fr-FR"/>
        </w:rPr>
        <w:t>il était dans l</w:t>
      </w:r>
      <w:r w:rsidR="00E267AB" w:rsidRPr="00E267AB">
        <w:rPr>
          <w:lang w:val="fr-FR"/>
        </w:rPr>
        <w:t>’</w:t>
      </w:r>
      <w:r w:rsidR="00445DB6" w:rsidRPr="00E267AB">
        <w:rPr>
          <w:lang w:val="fr-FR"/>
        </w:rPr>
        <w:t>impossibilité d</w:t>
      </w:r>
      <w:r w:rsidR="00E267AB" w:rsidRPr="00E267AB">
        <w:rPr>
          <w:lang w:val="fr-FR"/>
        </w:rPr>
        <w:t>’</w:t>
      </w:r>
      <w:r w:rsidR="00445DB6" w:rsidRPr="00E267AB">
        <w:rPr>
          <w:lang w:val="fr-FR"/>
        </w:rPr>
        <w:t>exercer son droit de visite et que S. se trouvait dans une situation critique</w:t>
      </w:r>
      <w:r w:rsidR="00B2535F" w:rsidRPr="00E267AB">
        <w:rPr>
          <w:lang w:val="fr-FR"/>
        </w:rPr>
        <w:t>.</w:t>
      </w:r>
    </w:p>
    <w:p w:rsidR="00B2535F" w:rsidRPr="00E267AB" w:rsidRDefault="000E2A18"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41</w:t>
      </w:r>
      <w:r w:rsidRPr="00E267AB">
        <w:rPr>
          <w:lang w:val="fr-FR"/>
        </w:rPr>
        <w:fldChar w:fldCharType="end"/>
      </w:r>
      <w:r w:rsidRPr="00E267AB">
        <w:rPr>
          <w:lang w:val="fr-FR"/>
        </w:rPr>
        <w:t>.  </w:t>
      </w:r>
      <w:r w:rsidR="00B2535F" w:rsidRPr="00E267AB">
        <w:rPr>
          <w:lang w:val="fr-FR"/>
        </w:rPr>
        <w:t>Par un arrêt du 12 novembre 2010, la cour d</w:t>
      </w:r>
      <w:r w:rsidR="00E267AB" w:rsidRPr="00E267AB">
        <w:rPr>
          <w:lang w:val="fr-FR"/>
        </w:rPr>
        <w:t>’</w:t>
      </w:r>
      <w:r w:rsidR="00B2535F" w:rsidRPr="00E267AB">
        <w:rPr>
          <w:lang w:val="fr-FR"/>
        </w:rPr>
        <w:t>appel de Florence r</w:t>
      </w:r>
      <w:r w:rsidR="007547B9" w:rsidRPr="00E267AB">
        <w:rPr>
          <w:lang w:val="fr-FR"/>
        </w:rPr>
        <w:t>é</w:t>
      </w:r>
      <w:r w:rsidR="00B2535F" w:rsidRPr="00E267AB">
        <w:rPr>
          <w:lang w:val="fr-FR"/>
        </w:rPr>
        <w:t>forma le jugement du tribunal</w:t>
      </w:r>
      <w:r w:rsidR="008024AE" w:rsidRPr="00E267AB">
        <w:rPr>
          <w:lang w:val="fr-FR"/>
        </w:rPr>
        <w:t xml:space="preserve"> de Pise du 26 février 2010.</w:t>
      </w:r>
      <w:r w:rsidR="00B2535F" w:rsidRPr="00E267AB">
        <w:rPr>
          <w:lang w:val="fr-FR"/>
        </w:rPr>
        <w:t xml:space="preserve"> Elle rappela</w:t>
      </w:r>
      <w:r w:rsidR="007547B9" w:rsidRPr="00E267AB">
        <w:rPr>
          <w:lang w:val="fr-FR"/>
        </w:rPr>
        <w:t>it</w:t>
      </w:r>
      <w:r w:rsidR="00B2535F" w:rsidRPr="00E267AB">
        <w:rPr>
          <w:lang w:val="fr-FR"/>
        </w:rPr>
        <w:t xml:space="preserve"> d</w:t>
      </w:r>
      <w:r w:rsidR="00E267AB" w:rsidRPr="00E267AB">
        <w:rPr>
          <w:lang w:val="fr-FR"/>
        </w:rPr>
        <w:t>’</w:t>
      </w:r>
      <w:r w:rsidR="00B2535F" w:rsidRPr="00E267AB">
        <w:rPr>
          <w:lang w:val="fr-FR"/>
        </w:rPr>
        <w:t>abord que N.R</w:t>
      </w:r>
      <w:r w:rsidR="007547B9" w:rsidRPr="00E267AB">
        <w:rPr>
          <w:lang w:val="fr-FR"/>
        </w:rPr>
        <w:t>.</w:t>
      </w:r>
      <w:r w:rsidR="00B2535F" w:rsidRPr="00E267AB">
        <w:rPr>
          <w:lang w:val="fr-FR"/>
        </w:rPr>
        <w:t xml:space="preserve"> avait déposé une plainte pour des abus sexuels qui n</w:t>
      </w:r>
      <w:r w:rsidR="00E267AB" w:rsidRPr="00E267AB">
        <w:rPr>
          <w:lang w:val="fr-FR"/>
        </w:rPr>
        <w:t>’</w:t>
      </w:r>
      <w:r w:rsidR="00B2535F" w:rsidRPr="00E267AB">
        <w:rPr>
          <w:lang w:val="fr-FR"/>
        </w:rPr>
        <w:t xml:space="preserve">avaient </w:t>
      </w:r>
      <w:r w:rsidR="001E363F" w:rsidRPr="00E267AB">
        <w:rPr>
          <w:lang w:val="fr-FR"/>
        </w:rPr>
        <w:t>pas été prouvés</w:t>
      </w:r>
      <w:r w:rsidR="00B2535F" w:rsidRPr="00E267AB">
        <w:rPr>
          <w:lang w:val="fr-FR"/>
        </w:rPr>
        <w:t>, qu</w:t>
      </w:r>
      <w:r w:rsidR="00E267AB" w:rsidRPr="00E267AB">
        <w:rPr>
          <w:lang w:val="fr-FR"/>
        </w:rPr>
        <w:t>’</w:t>
      </w:r>
      <w:r w:rsidR="00B2535F" w:rsidRPr="00E267AB">
        <w:rPr>
          <w:lang w:val="fr-FR"/>
        </w:rPr>
        <w:t>elle avait été sanctionnée pour avoir soumis sa fille à un</w:t>
      </w:r>
      <w:r w:rsidR="00966A9A" w:rsidRPr="00E267AB">
        <w:rPr>
          <w:lang w:val="fr-FR"/>
        </w:rPr>
        <w:t xml:space="preserve"> examen</w:t>
      </w:r>
      <w:r w:rsidR="00B2535F" w:rsidRPr="00E267AB">
        <w:rPr>
          <w:lang w:val="fr-FR"/>
        </w:rPr>
        <w:t xml:space="preserve"> gynécologique, qu</w:t>
      </w:r>
      <w:r w:rsidR="00E267AB" w:rsidRPr="00E267AB">
        <w:rPr>
          <w:lang w:val="fr-FR"/>
        </w:rPr>
        <w:t>’</w:t>
      </w:r>
      <w:r w:rsidR="00B2535F" w:rsidRPr="00E267AB">
        <w:rPr>
          <w:lang w:val="fr-FR"/>
        </w:rPr>
        <w:t>elle n</w:t>
      </w:r>
      <w:r w:rsidR="00E267AB" w:rsidRPr="00E267AB">
        <w:rPr>
          <w:lang w:val="fr-FR"/>
        </w:rPr>
        <w:t>’</w:t>
      </w:r>
      <w:r w:rsidR="00B2535F" w:rsidRPr="00E267AB">
        <w:rPr>
          <w:lang w:val="fr-FR"/>
        </w:rPr>
        <w:t xml:space="preserve">avait pas voulu </w:t>
      </w:r>
      <w:r w:rsidR="00966A9A" w:rsidRPr="00E267AB">
        <w:rPr>
          <w:lang w:val="fr-FR"/>
        </w:rPr>
        <w:t>faire</w:t>
      </w:r>
      <w:r w:rsidR="00B2535F" w:rsidRPr="00E267AB">
        <w:rPr>
          <w:lang w:val="fr-FR"/>
        </w:rPr>
        <w:t xml:space="preserve"> vacciner </w:t>
      </w:r>
      <w:r w:rsidR="008D0450" w:rsidRPr="00E267AB">
        <w:rPr>
          <w:lang w:val="fr-FR"/>
        </w:rPr>
        <w:t>celle-ci</w:t>
      </w:r>
      <w:r w:rsidR="0089793F" w:rsidRPr="00E267AB">
        <w:rPr>
          <w:lang w:val="fr-FR"/>
        </w:rPr>
        <w:t xml:space="preserve"> – ce qui avait nécessité une intervention du </w:t>
      </w:r>
      <w:r w:rsidR="00B2535F" w:rsidRPr="00E267AB">
        <w:rPr>
          <w:lang w:val="fr-FR"/>
        </w:rPr>
        <w:t>tribunal</w:t>
      </w:r>
      <w:r w:rsidR="0089793F" w:rsidRPr="00E267AB">
        <w:rPr>
          <w:lang w:val="fr-FR"/>
        </w:rPr>
        <w:t xml:space="preserve"> –</w:t>
      </w:r>
      <w:r w:rsidR="00966A9A" w:rsidRPr="00E267AB">
        <w:rPr>
          <w:lang w:val="fr-FR"/>
        </w:rPr>
        <w:t xml:space="preserve"> </w:t>
      </w:r>
      <w:r w:rsidR="00B2535F" w:rsidRPr="00E267AB">
        <w:rPr>
          <w:lang w:val="fr-FR"/>
        </w:rPr>
        <w:t>et</w:t>
      </w:r>
      <w:r w:rsidR="00966A9A" w:rsidRPr="00E267AB">
        <w:rPr>
          <w:lang w:val="fr-FR"/>
        </w:rPr>
        <w:t>, enfin,</w:t>
      </w:r>
      <w:r w:rsidR="00B2535F" w:rsidRPr="00E267AB">
        <w:rPr>
          <w:lang w:val="fr-FR"/>
        </w:rPr>
        <w:t xml:space="preserve"> qu</w:t>
      </w:r>
      <w:r w:rsidR="00E267AB" w:rsidRPr="00E267AB">
        <w:rPr>
          <w:lang w:val="fr-FR"/>
        </w:rPr>
        <w:t>’</w:t>
      </w:r>
      <w:r w:rsidR="00B2535F" w:rsidRPr="00E267AB">
        <w:rPr>
          <w:lang w:val="fr-FR"/>
        </w:rPr>
        <w:t>elle s</w:t>
      </w:r>
      <w:r w:rsidR="00E267AB" w:rsidRPr="00E267AB">
        <w:rPr>
          <w:lang w:val="fr-FR"/>
        </w:rPr>
        <w:t>’</w:t>
      </w:r>
      <w:r w:rsidR="00B2535F" w:rsidRPr="00E267AB">
        <w:rPr>
          <w:lang w:val="fr-FR"/>
        </w:rPr>
        <w:t>était opposée aux rencontres entre le requérant et l</w:t>
      </w:r>
      <w:r w:rsidR="00E267AB" w:rsidRPr="00E267AB">
        <w:rPr>
          <w:lang w:val="fr-FR"/>
        </w:rPr>
        <w:t>’</w:t>
      </w:r>
      <w:r w:rsidR="00B2535F" w:rsidRPr="00E267AB">
        <w:rPr>
          <w:lang w:val="fr-FR"/>
        </w:rPr>
        <w:t xml:space="preserve">enfant. Toutefois, la </w:t>
      </w:r>
      <w:r w:rsidR="00966A9A" w:rsidRPr="00E267AB">
        <w:rPr>
          <w:lang w:val="fr-FR"/>
        </w:rPr>
        <w:t>c</w:t>
      </w:r>
      <w:r w:rsidR="00B2535F" w:rsidRPr="00E267AB">
        <w:rPr>
          <w:lang w:val="fr-FR"/>
        </w:rPr>
        <w:t xml:space="preserve">our </w:t>
      </w:r>
      <w:r w:rsidR="00966A9A" w:rsidRPr="00E267AB">
        <w:rPr>
          <w:lang w:val="fr-FR"/>
        </w:rPr>
        <w:t>d</w:t>
      </w:r>
      <w:r w:rsidR="00E267AB" w:rsidRPr="00E267AB">
        <w:rPr>
          <w:lang w:val="fr-FR"/>
        </w:rPr>
        <w:t>’</w:t>
      </w:r>
      <w:r w:rsidR="00966A9A" w:rsidRPr="00E267AB">
        <w:rPr>
          <w:lang w:val="fr-FR"/>
        </w:rPr>
        <w:t xml:space="preserve">appel </w:t>
      </w:r>
      <w:r w:rsidR="00B2535F" w:rsidRPr="00E267AB">
        <w:rPr>
          <w:lang w:val="fr-FR"/>
        </w:rPr>
        <w:t>estima</w:t>
      </w:r>
      <w:r w:rsidR="00966A9A" w:rsidRPr="00E267AB">
        <w:rPr>
          <w:lang w:val="fr-FR"/>
        </w:rPr>
        <w:t>it</w:t>
      </w:r>
      <w:r w:rsidR="00B2535F" w:rsidRPr="00E267AB">
        <w:rPr>
          <w:lang w:val="fr-FR"/>
        </w:rPr>
        <w:t xml:space="preserve"> que</w:t>
      </w:r>
      <w:r w:rsidR="00966A9A" w:rsidRPr="00E267AB">
        <w:rPr>
          <w:lang w:val="fr-FR"/>
        </w:rPr>
        <w:t xml:space="preserve"> l</w:t>
      </w:r>
      <w:r w:rsidR="00E267AB" w:rsidRPr="00E267AB">
        <w:rPr>
          <w:lang w:val="fr-FR"/>
        </w:rPr>
        <w:t>’</w:t>
      </w:r>
      <w:r w:rsidR="00966A9A" w:rsidRPr="00E267AB">
        <w:rPr>
          <w:lang w:val="fr-FR"/>
        </w:rPr>
        <w:t>octroi de</w:t>
      </w:r>
      <w:r w:rsidR="00B2535F" w:rsidRPr="00E267AB">
        <w:rPr>
          <w:lang w:val="fr-FR"/>
        </w:rPr>
        <w:t xml:space="preserve"> la garde au père n</w:t>
      </w:r>
      <w:r w:rsidR="00E267AB" w:rsidRPr="00E267AB">
        <w:rPr>
          <w:lang w:val="fr-FR"/>
        </w:rPr>
        <w:t>’</w:t>
      </w:r>
      <w:r w:rsidR="00B2535F" w:rsidRPr="00E267AB">
        <w:rPr>
          <w:lang w:val="fr-FR"/>
        </w:rPr>
        <w:t>était pas dans l</w:t>
      </w:r>
      <w:r w:rsidR="00E267AB" w:rsidRPr="00E267AB">
        <w:rPr>
          <w:lang w:val="fr-FR"/>
        </w:rPr>
        <w:t>’</w:t>
      </w:r>
      <w:r w:rsidR="00B2535F" w:rsidRPr="00E267AB">
        <w:rPr>
          <w:lang w:val="fr-FR"/>
        </w:rPr>
        <w:t xml:space="preserve">intérêt de </w:t>
      </w:r>
      <w:r w:rsidR="009773E3" w:rsidRPr="00E267AB">
        <w:rPr>
          <w:lang w:val="fr-FR"/>
        </w:rPr>
        <w:t>l</w:t>
      </w:r>
      <w:r w:rsidR="00DC7EBD" w:rsidRPr="00E267AB">
        <w:rPr>
          <w:lang w:val="fr-FR"/>
        </w:rPr>
        <w:t>a mineure</w:t>
      </w:r>
      <w:r w:rsidR="009773E3" w:rsidRPr="00E267AB">
        <w:rPr>
          <w:lang w:val="fr-FR"/>
        </w:rPr>
        <w:t xml:space="preserve"> </w:t>
      </w:r>
      <w:r w:rsidR="00966A9A" w:rsidRPr="00E267AB">
        <w:rPr>
          <w:lang w:val="fr-FR"/>
        </w:rPr>
        <w:t xml:space="preserve">eu égard </w:t>
      </w:r>
      <w:r w:rsidR="00B2535F" w:rsidRPr="00E267AB">
        <w:rPr>
          <w:lang w:val="fr-FR"/>
        </w:rPr>
        <w:t>au</w:t>
      </w:r>
      <w:r w:rsidR="00966A9A" w:rsidRPr="00E267AB">
        <w:rPr>
          <w:lang w:val="fr-FR"/>
        </w:rPr>
        <w:t xml:space="preserve"> </w:t>
      </w:r>
      <w:r w:rsidR="00B2535F" w:rsidRPr="00E267AB">
        <w:rPr>
          <w:lang w:val="fr-FR"/>
        </w:rPr>
        <w:t xml:space="preserve">lien très étroit </w:t>
      </w:r>
      <w:r w:rsidR="00966A9A" w:rsidRPr="00E267AB">
        <w:rPr>
          <w:lang w:val="fr-FR"/>
        </w:rPr>
        <w:t xml:space="preserve">existant entre celle-ci et </w:t>
      </w:r>
      <w:r w:rsidR="00B2535F" w:rsidRPr="00E267AB">
        <w:rPr>
          <w:lang w:val="fr-FR"/>
        </w:rPr>
        <w:t xml:space="preserve">sa mère. Par conséquent, </w:t>
      </w:r>
      <w:r w:rsidR="00966A9A" w:rsidRPr="00E267AB">
        <w:rPr>
          <w:lang w:val="fr-FR"/>
        </w:rPr>
        <w:t>elle</w:t>
      </w:r>
      <w:r w:rsidR="00B2535F" w:rsidRPr="00E267AB">
        <w:rPr>
          <w:lang w:val="fr-FR"/>
        </w:rPr>
        <w:t xml:space="preserve"> confia la garde de </w:t>
      </w:r>
      <w:r w:rsidR="004A6B7B" w:rsidRPr="00E267AB">
        <w:rPr>
          <w:lang w:val="fr-FR"/>
        </w:rPr>
        <w:t>l</w:t>
      </w:r>
      <w:r w:rsidR="00E267AB" w:rsidRPr="00E267AB">
        <w:rPr>
          <w:lang w:val="fr-FR"/>
        </w:rPr>
        <w:t>’</w:t>
      </w:r>
      <w:r w:rsidR="004A6B7B" w:rsidRPr="00E267AB">
        <w:rPr>
          <w:lang w:val="fr-FR"/>
        </w:rPr>
        <w:t xml:space="preserve">enfant </w:t>
      </w:r>
      <w:r w:rsidR="00B2535F" w:rsidRPr="00E267AB">
        <w:rPr>
          <w:lang w:val="fr-FR"/>
        </w:rPr>
        <w:t xml:space="preserve">aux services sociaux et fixa la résidence principale de </w:t>
      </w:r>
      <w:r w:rsidR="004A6B7B" w:rsidRPr="00E267AB">
        <w:rPr>
          <w:lang w:val="fr-FR"/>
        </w:rPr>
        <w:t xml:space="preserve">cette dernière </w:t>
      </w:r>
      <w:r w:rsidR="00B2535F" w:rsidRPr="00E267AB">
        <w:rPr>
          <w:lang w:val="fr-FR"/>
        </w:rPr>
        <w:t>chez la mère. E</w:t>
      </w:r>
      <w:r w:rsidR="009773E3" w:rsidRPr="00E267AB">
        <w:rPr>
          <w:lang w:val="fr-FR"/>
        </w:rPr>
        <w:t>n outre, e</w:t>
      </w:r>
      <w:r w:rsidR="00B2535F" w:rsidRPr="00E267AB">
        <w:rPr>
          <w:lang w:val="fr-FR"/>
        </w:rPr>
        <w:t xml:space="preserve">lle </w:t>
      </w:r>
      <w:r w:rsidR="002C42CA" w:rsidRPr="00E267AB">
        <w:rPr>
          <w:lang w:val="fr-FR"/>
        </w:rPr>
        <w:t>décida</w:t>
      </w:r>
      <w:r w:rsidR="00B2535F" w:rsidRPr="00E267AB">
        <w:rPr>
          <w:lang w:val="fr-FR"/>
        </w:rPr>
        <w:t xml:space="preserve"> la mise en place d</w:t>
      </w:r>
      <w:r w:rsidR="00E267AB" w:rsidRPr="00E267AB">
        <w:rPr>
          <w:lang w:val="fr-FR"/>
        </w:rPr>
        <w:t>’</w:t>
      </w:r>
      <w:r w:rsidR="00B2535F" w:rsidRPr="00E267AB">
        <w:rPr>
          <w:lang w:val="fr-FR"/>
        </w:rPr>
        <w:t>un soutien psychologique pour l</w:t>
      </w:r>
      <w:r w:rsidR="002C42CA" w:rsidRPr="00E267AB">
        <w:rPr>
          <w:lang w:val="fr-FR"/>
        </w:rPr>
        <w:t>a mineure</w:t>
      </w:r>
      <w:r w:rsidR="00B2535F" w:rsidRPr="00E267AB">
        <w:rPr>
          <w:lang w:val="fr-FR"/>
        </w:rPr>
        <w:t>, octroya un droit de visite et d</w:t>
      </w:r>
      <w:r w:rsidR="00E267AB" w:rsidRPr="00E267AB">
        <w:rPr>
          <w:lang w:val="fr-FR"/>
        </w:rPr>
        <w:t>’</w:t>
      </w:r>
      <w:r w:rsidR="00B2535F" w:rsidRPr="00E267AB">
        <w:rPr>
          <w:lang w:val="fr-FR"/>
        </w:rPr>
        <w:t>hébergement au requérant et ordonna aux services sociaux de surveiller le comportement des deux parents.</w:t>
      </w:r>
    </w:p>
    <w:p w:rsidR="00B21E1F" w:rsidRPr="00E267AB" w:rsidRDefault="000E2A18"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42</w:t>
      </w:r>
      <w:r w:rsidRPr="00E267AB">
        <w:rPr>
          <w:lang w:val="fr-FR"/>
        </w:rPr>
        <w:fldChar w:fldCharType="end"/>
      </w:r>
      <w:r w:rsidRPr="00E267AB">
        <w:rPr>
          <w:lang w:val="fr-FR"/>
        </w:rPr>
        <w:t>.  </w:t>
      </w:r>
      <w:r w:rsidR="00B2535F" w:rsidRPr="00E267AB">
        <w:rPr>
          <w:lang w:val="fr-FR"/>
        </w:rPr>
        <w:t>N.</w:t>
      </w:r>
      <w:r w:rsidRPr="00E267AB">
        <w:rPr>
          <w:lang w:val="fr-FR"/>
        </w:rPr>
        <w:t>R.</w:t>
      </w:r>
      <w:r w:rsidR="00B2535F" w:rsidRPr="00E267AB">
        <w:rPr>
          <w:lang w:val="fr-FR"/>
        </w:rPr>
        <w:t xml:space="preserve"> se pourvut en cassation</w:t>
      </w:r>
      <w:r w:rsidR="004A6B7B" w:rsidRPr="00E267AB">
        <w:rPr>
          <w:lang w:val="fr-FR"/>
        </w:rPr>
        <w:t>,</w:t>
      </w:r>
      <w:r w:rsidR="00F119BB" w:rsidRPr="00E267AB">
        <w:rPr>
          <w:lang w:val="fr-FR"/>
        </w:rPr>
        <w:t xml:space="preserve"> en contestant la motivation d</w:t>
      </w:r>
      <w:r w:rsidR="000F2ECA" w:rsidRPr="00E267AB">
        <w:rPr>
          <w:lang w:val="fr-FR"/>
        </w:rPr>
        <w:t>e l</w:t>
      </w:r>
      <w:r w:rsidR="00E267AB" w:rsidRPr="00E267AB">
        <w:rPr>
          <w:lang w:val="fr-FR"/>
        </w:rPr>
        <w:t>’</w:t>
      </w:r>
      <w:r w:rsidR="000F2ECA" w:rsidRPr="00E267AB">
        <w:rPr>
          <w:lang w:val="fr-FR"/>
        </w:rPr>
        <w:t>arrêt du 12 novembre 2010</w:t>
      </w:r>
      <w:r w:rsidR="00F119BB" w:rsidRPr="00E267AB">
        <w:rPr>
          <w:lang w:val="fr-FR"/>
        </w:rPr>
        <w:t>.</w:t>
      </w:r>
    </w:p>
    <w:p w:rsidR="00361007" w:rsidRPr="00E267AB" w:rsidRDefault="000E2A18"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43</w:t>
      </w:r>
      <w:r w:rsidRPr="00E267AB">
        <w:rPr>
          <w:lang w:val="fr-FR"/>
        </w:rPr>
        <w:fldChar w:fldCharType="end"/>
      </w:r>
      <w:r w:rsidRPr="00E267AB">
        <w:rPr>
          <w:lang w:val="fr-FR"/>
        </w:rPr>
        <w:t>.  </w:t>
      </w:r>
      <w:r w:rsidR="00A93C09" w:rsidRPr="00E267AB">
        <w:rPr>
          <w:lang w:val="fr-FR"/>
        </w:rPr>
        <w:t>Le 24 janvier 2011, l</w:t>
      </w:r>
      <w:r w:rsidR="00B2535F" w:rsidRPr="00E267AB">
        <w:rPr>
          <w:lang w:val="fr-FR"/>
        </w:rPr>
        <w:t>es services sociaux déposèrent un rapport d</w:t>
      </w:r>
      <w:r w:rsidR="00E267AB" w:rsidRPr="00E267AB">
        <w:rPr>
          <w:lang w:val="fr-FR"/>
        </w:rPr>
        <w:t>’</w:t>
      </w:r>
      <w:r w:rsidR="00B2535F" w:rsidRPr="00E267AB">
        <w:rPr>
          <w:lang w:val="fr-FR"/>
        </w:rPr>
        <w:t>évaluation portant sur les parents et l</w:t>
      </w:r>
      <w:r w:rsidR="002C42CA" w:rsidRPr="00E267AB">
        <w:rPr>
          <w:lang w:val="fr-FR"/>
        </w:rPr>
        <w:t>a</w:t>
      </w:r>
      <w:r w:rsidR="00B2535F" w:rsidRPr="00E267AB">
        <w:rPr>
          <w:lang w:val="fr-FR"/>
        </w:rPr>
        <w:t xml:space="preserve"> mineur</w:t>
      </w:r>
      <w:r w:rsidR="002C42CA" w:rsidRPr="00E267AB">
        <w:rPr>
          <w:lang w:val="fr-FR"/>
        </w:rPr>
        <w:t>e</w:t>
      </w:r>
      <w:r w:rsidR="00B2535F" w:rsidRPr="00E267AB">
        <w:rPr>
          <w:lang w:val="fr-FR"/>
        </w:rPr>
        <w:t xml:space="preserve"> devant la cour d</w:t>
      </w:r>
      <w:r w:rsidR="00E267AB" w:rsidRPr="00E267AB">
        <w:rPr>
          <w:lang w:val="fr-FR"/>
        </w:rPr>
        <w:t>’</w:t>
      </w:r>
      <w:r w:rsidR="00B2535F" w:rsidRPr="00E267AB">
        <w:rPr>
          <w:lang w:val="fr-FR"/>
        </w:rPr>
        <w:t xml:space="preserve">appel. </w:t>
      </w:r>
      <w:r w:rsidR="00361007" w:rsidRPr="00E267AB">
        <w:rPr>
          <w:lang w:val="fr-FR"/>
        </w:rPr>
        <w:t>Dans ce</w:t>
      </w:r>
      <w:r w:rsidR="00B2535F" w:rsidRPr="00E267AB">
        <w:rPr>
          <w:lang w:val="fr-FR"/>
        </w:rPr>
        <w:t xml:space="preserve"> rapport, </w:t>
      </w:r>
      <w:r w:rsidR="00361007" w:rsidRPr="00E267AB">
        <w:rPr>
          <w:lang w:val="fr-FR"/>
        </w:rPr>
        <w:t xml:space="preserve">ils indiquaient que </w:t>
      </w:r>
      <w:r w:rsidR="00B2535F" w:rsidRPr="00E267AB">
        <w:rPr>
          <w:lang w:val="fr-FR"/>
        </w:rPr>
        <w:t xml:space="preserve">la situation avait empiré </w:t>
      </w:r>
      <w:r w:rsidR="002C42CA" w:rsidRPr="00E267AB">
        <w:rPr>
          <w:lang w:val="fr-FR"/>
        </w:rPr>
        <w:t>en raison d</w:t>
      </w:r>
      <w:r w:rsidR="00E267AB" w:rsidRPr="00E267AB">
        <w:rPr>
          <w:lang w:val="fr-FR"/>
        </w:rPr>
        <w:t>’</w:t>
      </w:r>
      <w:r w:rsidR="002C42CA" w:rsidRPr="00E267AB">
        <w:rPr>
          <w:lang w:val="fr-FR"/>
        </w:rPr>
        <w:t xml:space="preserve">une absence de collaboration de </w:t>
      </w:r>
      <w:r w:rsidR="00B2535F" w:rsidRPr="00E267AB">
        <w:rPr>
          <w:lang w:val="fr-FR"/>
        </w:rPr>
        <w:t>N.R</w:t>
      </w:r>
      <w:r w:rsidR="002C42CA" w:rsidRPr="00E267AB">
        <w:rPr>
          <w:lang w:val="fr-FR"/>
        </w:rPr>
        <w:t>.</w:t>
      </w:r>
      <w:r w:rsidR="00B2535F" w:rsidRPr="00E267AB">
        <w:rPr>
          <w:lang w:val="fr-FR"/>
        </w:rPr>
        <w:t xml:space="preserve"> à la psychothérapie et </w:t>
      </w:r>
      <w:r w:rsidR="00361007" w:rsidRPr="00E267AB">
        <w:rPr>
          <w:lang w:val="fr-FR"/>
        </w:rPr>
        <w:t>qu</w:t>
      </w:r>
      <w:r w:rsidR="00E267AB" w:rsidRPr="00E267AB">
        <w:rPr>
          <w:lang w:val="fr-FR"/>
        </w:rPr>
        <w:t>’</w:t>
      </w:r>
      <w:r w:rsidR="00B2535F" w:rsidRPr="00E267AB">
        <w:rPr>
          <w:lang w:val="fr-FR"/>
        </w:rPr>
        <w:t>un syndrome d</w:t>
      </w:r>
      <w:r w:rsidR="00E267AB" w:rsidRPr="00E267AB">
        <w:rPr>
          <w:lang w:val="fr-FR"/>
        </w:rPr>
        <w:t>’</w:t>
      </w:r>
      <w:r w:rsidR="00B2535F" w:rsidRPr="00E267AB">
        <w:rPr>
          <w:lang w:val="fr-FR"/>
        </w:rPr>
        <w:t>aliénation parental</w:t>
      </w:r>
      <w:r w:rsidR="001D1AE9" w:rsidRPr="00E267AB">
        <w:rPr>
          <w:lang w:val="fr-FR"/>
        </w:rPr>
        <w:t>e</w:t>
      </w:r>
      <w:r w:rsidR="00B2535F" w:rsidRPr="00E267AB">
        <w:rPr>
          <w:lang w:val="fr-FR"/>
        </w:rPr>
        <w:t xml:space="preserve"> commençait à se profiler. Les services sociaux soulign</w:t>
      </w:r>
      <w:r w:rsidR="002C42CA" w:rsidRPr="00E267AB">
        <w:rPr>
          <w:lang w:val="fr-FR"/>
        </w:rPr>
        <w:t>aient</w:t>
      </w:r>
      <w:r w:rsidR="00B2535F" w:rsidRPr="00E267AB">
        <w:rPr>
          <w:lang w:val="fr-FR"/>
        </w:rPr>
        <w:t xml:space="preserve"> qu</w:t>
      </w:r>
      <w:r w:rsidR="00361007" w:rsidRPr="00E267AB">
        <w:rPr>
          <w:lang w:val="fr-FR"/>
        </w:rPr>
        <w:t>e S. vivait dans un environnement hostile au requérant et qu</w:t>
      </w:r>
      <w:r w:rsidR="00E267AB" w:rsidRPr="00E267AB">
        <w:rPr>
          <w:lang w:val="fr-FR"/>
        </w:rPr>
        <w:t>’</w:t>
      </w:r>
      <w:r w:rsidR="00B2535F" w:rsidRPr="00E267AB">
        <w:rPr>
          <w:lang w:val="fr-FR"/>
        </w:rPr>
        <w:t xml:space="preserve">il fallait </w:t>
      </w:r>
      <w:r w:rsidR="00361007" w:rsidRPr="00E267AB">
        <w:rPr>
          <w:lang w:val="fr-FR"/>
        </w:rPr>
        <w:t xml:space="preserve">par conséquent la </w:t>
      </w:r>
      <w:r w:rsidR="00B2535F" w:rsidRPr="00E267AB">
        <w:rPr>
          <w:lang w:val="fr-FR"/>
        </w:rPr>
        <w:t>protéger</w:t>
      </w:r>
      <w:r w:rsidR="00361007" w:rsidRPr="00E267AB">
        <w:rPr>
          <w:lang w:val="fr-FR"/>
        </w:rPr>
        <w:t>.</w:t>
      </w:r>
    </w:p>
    <w:p w:rsidR="00B2535F" w:rsidRPr="00E267AB" w:rsidRDefault="000E2A18"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44</w:t>
      </w:r>
      <w:r w:rsidRPr="00E267AB">
        <w:rPr>
          <w:lang w:val="fr-FR"/>
        </w:rPr>
        <w:fldChar w:fldCharType="end"/>
      </w:r>
      <w:r w:rsidRPr="00E267AB">
        <w:rPr>
          <w:lang w:val="fr-FR"/>
        </w:rPr>
        <w:t>.  </w:t>
      </w:r>
      <w:r w:rsidR="00B2535F" w:rsidRPr="00E267AB">
        <w:rPr>
          <w:lang w:val="fr-FR"/>
        </w:rPr>
        <w:t xml:space="preserve">Le 27 septembre 2011, </w:t>
      </w:r>
      <w:r w:rsidR="00807E9C" w:rsidRPr="00E267AB">
        <w:rPr>
          <w:lang w:val="fr-FR"/>
        </w:rPr>
        <w:t>après avoir pris en compte la situation dans laquelle se trouvait l</w:t>
      </w:r>
      <w:r w:rsidR="00E267AB" w:rsidRPr="00E267AB">
        <w:rPr>
          <w:lang w:val="fr-FR"/>
        </w:rPr>
        <w:t>’</w:t>
      </w:r>
      <w:r w:rsidR="00807E9C" w:rsidRPr="00E267AB">
        <w:rPr>
          <w:lang w:val="fr-FR"/>
        </w:rPr>
        <w:t xml:space="preserve">enfant – estimée être dangereuse pour celle-ci – et le rapport déposé par les services sociaux, </w:t>
      </w:r>
      <w:r w:rsidR="00B2535F" w:rsidRPr="00E267AB">
        <w:rPr>
          <w:lang w:val="fr-FR"/>
        </w:rPr>
        <w:t>le tribunal pour enfants de Florence</w:t>
      </w:r>
      <w:r w:rsidR="000A3807" w:rsidRPr="00E267AB">
        <w:rPr>
          <w:lang w:val="fr-FR"/>
        </w:rPr>
        <w:t xml:space="preserve"> </w:t>
      </w:r>
      <w:r w:rsidR="00B2535F" w:rsidRPr="00E267AB">
        <w:rPr>
          <w:lang w:val="fr-FR"/>
        </w:rPr>
        <w:t xml:space="preserve">ordonna </w:t>
      </w:r>
      <w:r w:rsidR="00FC0FFC" w:rsidRPr="00E267AB">
        <w:rPr>
          <w:lang w:val="fr-FR"/>
        </w:rPr>
        <w:t>deux</w:t>
      </w:r>
      <w:r w:rsidR="00B2535F" w:rsidRPr="00E267AB">
        <w:rPr>
          <w:lang w:val="fr-FR"/>
        </w:rPr>
        <w:t xml:space="preserve"> expertise</w:t>
      </w:r>
      <w:r w:rsidR="00FC0FFC" w:rsidRPr="00E267AB">
        <w:rPr>
          <w:lang w:val="fr-FR"/>
        </w:rPr>
        <w:t>s, l</w:t>
      </w:r>
      <w:r w:rsidR="00E267AB" w:rsidRPr="00E267AB">
        <w:rPr>
          <w:lang w:val="fr-FR"/>
        </w:rPr>
        <w:t>’</w:t>
      </w:r>
      <w:r w:rsidR="00FC0FFC" w:rsidRPr="00E267AB">
        <w:rPr>
          <w:lang w:val="fr-FR"/>
        </w:rPr>
        <w:t xml:space="preserve">une portant </w:t>
      </w:r>
      <w:r w:rsidR="00B2535F" w:rsidRPr="00E267AB">
        <w:rPr>
          <w:lang w:val="fr-FR"/>
        </w:rPr>
        <w:t>sur la capacité d</w:t>
      </w:r>
      <w:r w:rsidR="00FD065E" w:rsidRPr="00E267AB">
        <w:rPr>
          <w:lang w:val="fr-FR"/>
        </w:rPr>
        <w:t xml:space="preserve">u requérant et de </w:t>
      </w:r>
      <w:r w:rsidR="00FD065E" w:rsidRPr="00E267AB">
        <w:rPr>
          <w:lang w:val="fr-FR"/>
        </w:rPr>
        <w:lastRenderedPageBreak/>
        <w:t xml:space="preserve">N.R. </w:t>
      </w:r>
      <w:r w:rsidR="00B2535F" w:rsidRPr="00E267AB">
        <w:rPr>
          <w:lang w:val="fr-FR"/>
        </w:rPr>
        <w:t xml:space="preserve">à exercer leur rôle parental et </w:t>
      </w:r>
      <w:r w:rsidR="00FC0FFC" w:rsidRPr="00E267AB">
        <w:rPr>
          <w:lang w:val="fr-FR"/>
        </w:rPr>
        <w:t>l</w:t>
      </w:r>
      <w:r w:rsidR="00E267AB" w:rsidRPr="00E267AB">
        <w:rPr>
          <w:lang w:val="fr-FR"/>
        </w:rPr>
        <w:t>’</w:t>
      </w:r>
      <w:r w:rsidR="00B2535F" w:rsidRPr="00E267AB">
        <w:rPr>
          <w:lang w:val="fr-FR"/>
        </w:rPr>
        <w:t xml:space="preserve">autre sur </w:t>
      </w:r>
      <w:r w:rsidR="0058554F" w:rsidRPr="00E267AB">
        <w:rPr>
          <w:lang w:val="fr-FR"/>
        </w:rPr>
        <w:t>l</w:t>
      </w:r>
      <w:r w:rsidR="00E267AB" w:rsidRPr="00E267AB">
        <w:rPr>
          <w:lang w:val="fr-FR"/>
        </w:rPr>
        <w:t>’</w:t>
      </w:r>
      <w:r w:rsidR="0058554F" w:rsidRPr="00E267AB">
        <w:rPr>
          <w:lang w:val="fr-FR"/>
        </w:rPr>
        <w:t xml:space="preserve">état de </w:t>
      </w:r>
      <w:r w:rsidR="00B2535F" w:rsidRPr="00E267AB">
        <w:rPr>
          <w:lang w:val="fr-FR"/>
        </w:rPr>
        <w:t>S.</w:t>
      </w:r>
      <w:r w:rsidR="000A3807" w:rsidRPr="00E267AB">
        <w:rPr>
          <w:lang w:val="fr-FR"/>
        </w:rPr>
        <w:t>,</w:t>
      </w:r>
      <w:r w:rsidR="00B2535F" w:rsidRPr="00E267AB">
        <w:rPr>
          <w:lang w:val="fr-FR"/>
        </w:rPr>
        <w:t xml:space="preserve"> afin de </w:t>
      </w:r>
      <w:r w:rsidR="000A3807" w:rsidRPr="00E267AB">
        <w:rPr>
          <w:lang w:val="fr-FR"/>
        </w:rPr>
        <w:t>déterminer</w:t>
      </w:r>
      <w:r w:rsidR="00B2535F" w:rsidRPr="00E267AB">
        <w:rPr>
          <w:lang w:val="fr-FR"/>
        </w:rPr>
        <w:t xml:space="preserve"> si </w:t>
      </w:r>
      <w:r w:rsidR="00FC0FFC" w:rsidRPr="00E267AB">
        <w:rPr>
          <w:lang w:val="fr-FR"/>
        </w:rPr>
        <w:t>c</w:t>
      </w:r>
      <w:r w:rsidR="00B2535F" w:rsidRPr="00E267AB">
        <w:rPr>
          <w:lang w:val="fr-FR"/>
        </w:rPr>
        <w:t>elle</w:t>
      </w:r>
      <w:r w:rsidR="00FC0FFC" w:rsidRPr="00E267AB">
        <w:rPr>
          <w:lang w:val="fr-FR"/>
        </w:rPr>
        <w:t>-ci</w:t>
      </w:r>
      <w:r w:rsidR="00B2535F" w:rsidRPr="00E267AB">
        <w:rPr>
          <w:lang w:val="fr-FR"/>
        </w:rPr>
        <w:t xml:space="preserve"> avait développé un syndrome d</w:t>
      </w:r>
      <w:r w:rsidR="00E267AB" w:rsidRPr="00E267AB">
        <w:rPr>
          <w:lang w:val="fr-FR"/>
        </w:rPr>
        <w:t>’</w:t>
      </w:r>
      <w:r w:rsidR="00B2535F" w:rsidRPr="00E267AB">
        <w:rPr>
          <w:lang w:val="fr-FR"/>
        </w:rPr>
        <w:t>aliénation</w:t>
      </w:r>
      <w:r w:rsidR="0048020F" w:rsidRPr="00E267AB">
        <w:rPr>
          <w:lang w:val="fr-FR"/>
        </w:rPr>
        <w:t xml:space="preserve"> </w:t>
      </w:r>
      <w:r w:rsidR="00B2535F" w:rsidRPr="00E267AB">
        <w:rPr>
          <w:lang w:val="fr-FR"/>
        </w:rPr>
        <w:t>parental</w:t>
      </w:r>
      <w:r w:rsidR="001D1AE9" w:rsidRPr="00E267AB">
        <w:rPr>
          <w:lang w:val="fr-FR"/>
        </w:rPr>
        <w:t>e</w:t>
      </w:r>
      <w:r w:rsidR="00B2535F" w:rsidRPr="00E267AB">
        <w:rPr>
          <w:lang w:val="fr-FR"/>
        </w:rPr>
        <w:t>.</w:t>
      </w:r>
    </w:p>
    <w:p w:rsidR="00B2535F" w:rsidRPr="00E267AB" w:rsidRDefault="000E2A18"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45</w:t>
      </w:r>
      <w:r w:rsidRPr="00E267AB">
        <w:rPr>
          <w:lang w:val="fr-FR"/>
        </w:rPr>
        <w:fldChar w:fldCharType="end"/>
      </w:r>
      <w:r w:rsidRPr="00E267AB">
        <w:rPr>
          <w:lang w:val="fr-FR"/>
        </w:rPr>
        <w:t>.  </w:t>
      </w:r>
      <w:r w:rsidR="00B2535F" w:rsidRPr="00E267AB">
        <w:rPr>
          <w:lang w:val="fr-FR"/>
        </w:rPr>
        <w:t>N.R. s</w:t>
      </w:r>
      <w:r w:rsidR="00E267AB" w:rsidRPr="00E267AB">
        <w:rPr>
          <w:lang w:val="fr-FR"/>
        </w:rPr>
        <w:t>’</w:t>
      </w:r>
      <w:r w:rsidR="00B2535F" w:rsidRPr="00E267AB">
        <w:rPr>
          <w:lang w:val="fr-FR"/>
        </w:rPr>
        <w:t>opposa à cette décision</w:t>
      </w:r>
      <w:r w:rsidR="00FC0FFC" w:rsidRPr="00E267AB">
        <w:rPr>
          <w:lang w:val="fr-FR"/>
        </w:rPr>
        <w:t> : elle</w:t>
      </w:r>
      <w:r w:rsidR="00B2535F" w:rsidRPr="00E267AB">
        <w:rPr>
          <w:lang w:val="fr-FR"/>
        </w:rPr>
        <w:t xml:space="preserve"> déposa un recours devant le tribunal </w:t>
      </w:r>
      <w:r w:rsidR="00FC0FFC" w:rsidRPr="00E267AB">
        <w:rPr>
          <w:lang w:val="fr-FR"/>
        </w:rPr>
        <w:t>pour enfants de Florence, lui</w:t>
      </w:r>
      <w:r w:rsidR="00B2535F" w:rsidRPr="00E267AB">
        <w:rPr>
          <w:lang w:val="fr-FR"/>
        </w:rPr>
        <w:t xml:space="preserve"> demand</w:t>
      </w:r>
      <w:r w:rsidR="00FC0FFC" w:rsidRPr="00E267AB">
        <w:rPr>
          <w:lang w:val="fr-FR"/>
        </w:rPr>
        <w:t>ant</w:t>
      </w:r>
      <w:r w:rsidR="00B2535F" w:rsidRPr="00E267AB">
        <w:rPr>
          <w:lang w:val="fr-FR"/>
        </w:rPr>
        <w:t xml:space="preserve"> la reformulation des questions posées à l</w:t>
      </w:r>
      <w:r w:rsidR="00E267AB" w:rsidRPr="00E267AB">
        <w:rPr>
          <w:lang w:val="fr-FR"/>
        </w:rPr>
        <w:t>’</w:t>
      </w:r>
      <w:r w:rsidR="00B2535F" w:rsidRPr="00E267AB">
        <w:rPr>
          <w:lang w:val="fr-FR"/>
        </w:rPr>
        <w:t>expert. Cette demande fut rejetée.</w:t>
      </w:r>
    </w:p>
    <w:p w:rsidR="00B2535F" w:rsidRPr="00E267AB" w:rsidRDefault="000E2A18"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46</w:t>
      </w:r>
      <w:r w:rsidRPr="00E267AB">
        <w:rPr>
          <w:lang w:val="fr-FR"/>
        </w:rPr>
        <w:fldChar w:fldCharType="end"/>
      </w:r>
      <w:r w:rsidRPr="00E267AB">
        <w:rPr>
          <w:lang w:val="fr-FR"/>
        </w:rPr>
        <w:t>.  </w:t>
      </w:r>
      <w:r w:rsidR="00B2535F" w:rsidRPr="00E267AB">
        <w:rPr>
          <w:lang w:val="fr-FR"/>
        </w:rPr>
        <w:t>N.R. interjeta appel</w:t>
      </w:r>
      <w:r w:rsidR="00FC0FFC" w:rsidRPr="00E267AB">
        <w:rPr>
          <w:lang w:val="fr-FR"/>
        </w:rPr>
        <w:t>, en sollicitant une</w:t>
      </w:r>
      <w:r w:rsidR="00B2535F" w:rsidRPr="00E267AB">
        <w:rPr>
          <w:lang w:val="fr-FR"/>
        </w:rPr>
        <w:t xml:space="preserve"> suspen</w:t>
      </w:r>
      <w:r w:rsidR="00FC0FFC" w:rsidRPr="00E267AB">
        <w:rPr>
          <w:lang w:val="fr-FR"/>
        </w:rPr>
        <w:t>sion du</w:t>
      </w:r>
      <w:r w:rsidR="00B2535F" w:rsidRPr="00E267AB">
        <w:rPr>
          <w:lang w:val="fr-FR"/>
        </w:rPr>
        <w:t xml:space="preserve"> travail de l</w:t>
      </w:r>
      <w:r w:rsidR="00E267AB" w:rsidRPr="00E267AB">
        <w:rPr>
          <w:lang w:val="fr-FR"/>
        </w:rPr>
        <w:t>’</w:t>
      </w:r>
      <w:r w:rsidR="00B2535F" w:rsidRPr="00E267AB">
        <w:rPr>
          <w:lang w:val="fr-FR"/>
        </w:rPr>
        <w:t xml:space="preserve">expert </w:t>
      </w:r>
      <w:r w:rsidR="00FC0FFC" w:rsidRPr="00E267AB">
        <w:rPr>
          <w:lang w:val="fr-FR"/>
        </w:rPr>
        <w:t>dans l</w:t>
      </w:r>
      <w:r w:rsidR="00E267AB" w:rsidRPr="00E267AB">
        <w:rPr>
          <w:lang w:val="fr-FR"/>
        </w:rPr>
        <w:t>’</w:t>
      </w:r>
      <w:r w:rsidR="00FC0FFC" w:rsidRPr="00E267AB">
        <w:rPr>
          <w:lang w:val="fr-FR"/>
        </w:rPr>
        <w:t>attente de</w:t>
      </w:r>
      <w:r w:rsidR="00B2535F" w:rsidRPr="00E267AB">
        <w:rPr>
          <w:lang w:val="fr-FR"/>
        </w:rPr>
        <w:t xml:space="preserve"> la décision </w:t>
      </w:r>
      <w:r w:rsidR="00B328B0" w:rsidRPr="00E267AB">
        <w:rPr>
          <w:lang w:val="fr-FR"/>
        </w:rPr>
        <w:t>de la cour d</w:t>
      </w:r>
      <w:r w:rsidR="00E267AB" w:rsidRPr="00E267AB">
        <w:rPr>
          <w:lang w:val="fr-FR"/>
        </w:rPr>
        <w:t>’</w:t>
      </w:r>
      <w:r w:rsidR="00B328B0" w:rsidRPr="00E267AB">
        <w:rPr>
          <w:lang w:val="fr-FR"/>
        </w:rPr>
        <w:t xml:space="preserve">appel </w:t>
      </w:r>
      <w:r w:rsidR="00B2535F" w:rsidRPr="00E267AB">
        <w:rPr>
          <w:lang w:val="fr-FR"/>
        </w:rPr>
        <w:t>sur le fond de l</w:t>
      </w:r>
      <w:r w:rsidR="00E267AB" w:rsidRPr="00E267AB">
        <w:rPr>
          <w:lang w:val="fr-FR"/>
        </w:rPr>
        <w:t>’</w:t>
      </w:r>
      <w:r w:rsidR="00B2535F" w:rsidRPr="00E267AB">
        <w:rPr>
          <w:lang w:val="fr-FR"/>
        </w:rPr>
        <w:t>affaire.</w:t>
      </w:r>
    </w:p>
    <w:p w:rsidR="00B2535F" w:rsidRPr="00E267AB" w:rsidRDefault="000E2A18"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47</w:t>
      </w:r>
      <w:r w:rsidRPr="00E267AB">
        <w:rPr>
          <w:lang w:val="fr-FR"/>
        </w:rPr>
        <w:fldChar w:fldCharType="end"/>
      </w:r>
      <w:r w:rsidRPr="00E267AB">
        <w:rPr>
          <w:lang w:val="fr-FR"/>
        </w:rPr>
        <w:t>.  </w:t>
      </w:r>
      <w:r w:rsidR="00B2535F" w:rsidRPr="00E267AB">
        <w:rPr>
          <w:lang w:val="fr-FR"/>
        </w:rPr>
        <w:t xml:space="preserve">Le 16 février 2012, le </w:t>
      </w:r>
      <w:r w:rsidR="00B328B0" w:rsidRPr="00E267AB">
        <w:rPr>
          <w:lang w:val="fr-FR"/>
        </w:rPr>
        <w:t>p</w:t>
      </w:r>
      <w:r w:rsidR="00B2535F" w:rsidRPr="00E267AB">
        <w:rPr>
          <w:lang w:val="fr-FR"/>
        </w:rPr>
        <w:t>résident de la cour d</w:t>
      </w:r>
      <w:r w:rsidR="00E267AB" w:rsidRPr="00E267AB">
        <w:rPr>
          <w:lang w:val="fr-FR"/>
        </w:rPr>
        <w:t>’</w:t>
      </w:r>
      <w:r w:rsidR="00B2535F" w:rsidRPr="00E267AB">
        <w:rPr>
          <w:lang w:val="fr-FR"/>
        </w:rPr>
        <w:t>appel de Florence fit droit à la demande de N.R.</w:t>
      </w:r>
    </w:p>
    <w:p w:rsidR="00B21E1F" w:rsidRPr="00E267AB" w:rsidRDefault="000E2A18"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48</w:t>
      </w:r>
      <w:r w:rsidRPr="00E267AB">
        <w:rPr>
          <w:lang w:val="fr-FR"/>
        </w:rPr>
        <w:fldChar w:fldCharType="end"/>
      </w:r>
      <w:r w:rsidRPr="00E267AB">
        <w:rPr>
          <w:lang w:val="fr-FR"/>
        </w:rPr>
        <w:t>.  </w:t>
      </w:r>
      <w:r w:rsidR="00B2535F" w:rsidRPr="00E267AB">
        <w:rPr>
          <w:lang w:val="fr-FR"/>
        </w:rPr>
        <w:t>Par une décision du 4 avril 2012, la cour d</w:t>
      </w:r>
      <w:r w:rsidR="00E267AB" w:rsidRPr="00E267AB">
        <w:rPr>
          <w:lang w:val="fr-FR"/>
        </w:rPr>
        <w:t>’</w:t>
      </w:r>
      <w:r w:rsidR="00B2535F" w:rsidRPr="00E267AB">
        <w:rPr>
          <w:lang w:val="fr-FR"/>
        </w:rPr>
        <w:t>appel déclara le recours de N.R</w:t>
      </w:r>
      <w:r w:rsidR="00BE67FD" w:rsidRPr="00E267AB">
        <w:rPr>
          <w:lang w:val="fr-FR"/>
        </w:rPr>
        <w:t>. irrecevable ;</w:t>
      </w:r>
      <w:r w:rsidR="00B2535F" w:rsidRPr="00E267AB">
        <w:rPr>
          <w:lang w:val="fr-FR"/>
        </w:rPr>
        <w:t xml:space="preserve"> </w:t>
      </w:r>
      <w:r w:rsidR="00BE67FD" w:rsidRPr="00E267AB">
        <w:rPr>
          <w:lang w:val="fr-FR"/>
        </w:rPr>
        <w:t>l</w:t>
      </w:r>
      <w:r w:rsidR="00E267AB" w:rsidRPr="00E267AB">
        <w:rPr>
          <w:lang w:val="fr-FR"/>
        </w:rPr>
        <w:t>’</w:t>
      </w:r>
      <w:r w:rsidR="00BE67FD" w:rsidRPr="00E267AB">
        <w:rPr>
          <w:lang w:val="fr-FR"/>
        </w:rPr>
        <w:t xml:space="preserve">expert put </w:t>
      </w:r>
      <w:r w:rsidR="00B2535F" w:rsidRPr="00E267AB">
        <w:rPr>
          <w:lang w:val="fr-FR"/>
        </w:rPr>
        <w:t>par conséquent reprendre son travail.</w:t>
      </w:r>
    </w:p>
    <w:p w:rsidR="00B21E1F" w:rsidRPr="00E267AB" w:rsidRDefault="000E2A18"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49</w:t>
      </w:r>
      <w:r w:rsidRPr="00E267AB">
        <w:rPr>
          <w:lang w:val="fr-FR"/>
        </w:rPr>
        <w:fldChar w:fldCharType="end"/>
      </w:r>
      <w:r w:rsidRPr="00E267AB">
        <w:rPr>
          <w:lang w:val="fr-FR"/>
        </w:rPr>
        <w:t>.  </w:t>
      </w:r>
      <w:r w:rsidR="00B2535F" w:rsidRPr="00E267AB">
        <w:rPr>
          <w:lang w:val="fr-FR"/>
        </w:rPr>
        <w:t>Le 20 novembre 2012, un rapport d</w:t>
      </w:r>
      <w:r w:rsidR="00E267AB" w:rsidRPr="00E267AB">
        <w:rPr>
          <w:lang w:val="fr-FR"/>
        </w:rPr>
        <w:t>’</w:t>
      </w:r>
      <w:r w:rsidR="00B2535F" w:rsidRPr="00E267AB">
        <w:rPr>
          <w:lang w:val="fr-FR"/>
        </w:rPr>
        <w:t>expertise psychologique fut rédigé et remis au tribunal</w:t>
      </w:r>
      <w:r w:rsidR="008024AE" w:rsidRPr="00E267AB">
        <w:rPr>
          <w:lang w:val="fr-FR"/>
        </w:rPr>
        <w:t xml:space="preserve"> pour enfants de Florence</w:t>
      </w:r>
      <w:r w:rsidR="00B2535F" w:rsidRPr="00E267AB">
        <w:rPr>
          <w:lang w:val="fr-FR"/>
        </w:rPr>
        <w:t>. Selon ce rapport, la famille se trouvait dans une situation d</w:t>
      </w:r>
      <w:r w:rsidR="00294BBA" w:rsidRPr="00E267AB">
        <w:rPr>
          <w:lang w:val="fr-FR"/>
        </w:rPr>
        <w:t>e</w:t>
      </w:r>
      <w:r w:rsidR="00B2535F" w:rsidRPr="00E267AB">
        <w:rPr>
          <w:lang w:val="fr-FR"/>
        </w:rPr>
        <w:t xml:space="preserve"> « triangle pervers » dans laquelle </w:t>
      </w:r>
      <w:r w:rsidR="00294BBA" w:rsidRPr="00E267AB">
        <w:rPr>
          <w:lang w:val="fr-FR"/>
        </w:rPr>
        <w:t>préval</w:t>
      </w:r>
      <w:r w:rsidR="00B2535F" w:rsidRPr="00E267AB">
        <w:rPr>
          <w:lang w:val="fr-FR"/>
        </w:rPr>
        <w:t>aient le dénigrement et le re</w:t>
      </w:r>
      <w:r w:rsidR="00294BBA" w:rsidRPr="00E267AB">
        <w:rPr>
          <w:lang w:val="fr-FR"/>
        </w:rPr>
        <w:t>jet</w:t>
      </w:r>
      <w:r w:rsidR="00B2535F" w:rsidRPr="00E267AB">
        <w:rPr>
          <w:lang w:val="fr-FR"/>
        </w:rPr>
        <w:t xml:space="preserve"> d</w:t>
      </w:r>
      <w:r w:rsidR="00294BBA" w:rsidRPr="00E267AB">
        <w:rPr>
          <w:lang w:val="fr-FR"/>
        </w:rPr>
        <w:t>u</w:t>
      </w:r>
      <w:r w:rsidR="00B2535F" w:rsidRPr="00E267AB">
        <w:rPr>
          <w:lang w:val="fr-FR"/>
        </w:rPr>
        <w:t xml:space="preserve"> parent injustement accusé d</w:t>
      </w:r>
      <w:r w:rsidR="00E267AB" w:rsidRPr="00E267AB">
        <w:rPr>
          <w:lang w:val="fr-FR"/>
        </w:rPr>
        <w:t>’</w:t>
      </w:r>
      <w:r w:rsidR="00B2535F" w:rsidRPr="00E267AB">
        <w:rPr>
          <w:lang w:val="fr-FR"/>
        </w:rPr>
        <w:t>attouchements sexuels</w:t>
      </w:r>
      <w:r w:rsidR="008024AE" w:rsidRPr="00E267AB">
        <w:rPr>
          <w:lang w:val="fr-FR"/>
        </w:rPr>
        <w:t xml:space="preserve"> (voir paragraphes 66-70 ci-dess</w:t>
      </w:r>
      <w:r w:rsidR="00C818F0" w:rsidRPr="00E267AB">
        <w:rPr>
          <w:lang w:val="fr-FR"/>
        </w:rPr>
        <w:t>o</w:t>
      </w:r>
      <w:r w:rsidR="008024AE" w:rsidRPr="00E267AB">
        <w:rPr>
          <w:lang w:val="fr-FR"/>
        </w:rPr>
        <w:t>us)</w:t>
      </w:r>
      <w:r w:rsidR="00B2535F" w:rsidRPr="00E267AB">
        <w:rPr>
          <w:lang w:val="fr-FR"/>
        </w:rPr>
        <w:t xml:space="preserve">. </w:t>
      </w:r>
      <w:r w:rsidR="00DA5DF4" w:rsidRPr="00E267AB">
        <w:rPr>
          <w:lang w:val="fr-FR"/>
        </w:rPr>
        <w:t>D</w:t>
      </w:r>
      <w:r w:rsidR="00E267AB" w:rsidRPr="00E267AB">
        <w:rPr>
          <w:lang w:val="fr-FR"/>
        </w:rPr>
        <w:t>’</w:t>
      </w:r>
      <w:r w:rsidR="00DA5DF4" w:rsidRPr="00E267AB">
        <w:rPr>
          <w:lang w:val="fr-FR"/>
        </w:rPr>
        <w:t>après</w:t>
      </w:r>
      <w:r w:rsidR="00B2535F" w:rsidRPr="00E267AB">
        <w:rPr>
          <w:lang w:val="fr-FR"/>
        </w:rPr>
        <w:t xml:space="preserve"> les psychologues, N.R. avait une attitude défensive très rigide. </w:t>
      </w:r>
      <w:r w:rsidR="00DA5DF4" w:rsidRPr="00E267AB">
        <w:rPr>
          <w:lang w:val="fr-FR"/>
        </w:rPr>
        <w:t>Toujours selon eux</w:t>
      </w:r>
      <w:r w:rsidR="00294BBA" w:rsidRPr="00E267AB">
        <w:rPr>
          <w:lang w:val="fr-FR"/>
        </w:rPr>
        <w:t xml:space="preserve">, </w:t>
      </w:r>
      <w:r w:rsidR="00B2535F" w:rsidRPr="00E267AB">
        <w:rPr>
          <w:lang w:val="fr-FR"/>
        </w:rPr>
        <w:t xml:space="preserve">la mineure était </w:t>
      </w:r>
      <w:r w:rsidR="00294BBA" w:rsidRPr="00E267AB">
        <w:rPr>
          <w:lang w:val="fr-FR"/>
        </w:rPr>
        <w:t xml:space="preserve">quant à elle </w:t>
      </w:r>
      <w:r w:rsidR="00B2535F" w:rsidRPr="00E267AB">
        <w:rPr>
          <w:lang w:val="fr-FR"/>
        </w:rPr>
        <w:t>victime d</w:t>
      </w:r>
      <w:r w:rsidR="00E267AB" w:rsidRPr="00E267AB">
        <w:rPr>
          <w:lang w:val="fr-FR"/>
        </w:rPr>
        <w:t>’</w:t>
      </w:r>
      <w:r w:rsidR="00B2535F" w:rsidRPr="00E267AB">
        <w:rPr>
          <w:lang w:val="fr-FR"/>
        </w:rPr>
        <w:t>un abus émoti</w:t>
      </w:r>
      <w:r w:rsidR="00312952" w:rsidRPr="00E267AB">
        <w:rPr>
          <w:lang w:val="fr-FR"/>
        </w:rPr>
        <w:t>onnel</w:t>
      </w:r>
      <w:r w:rsidR="00B2535F" w:rsidRPr="00E267AB">
        <w:rPr>
          <w:lang w:val="fr-FR"/>
        </w:rPr>
        <w:t xml:space="preserve"> et</w:t>
      </w:r>
      <w:r w:rsidR="004A583D" w:rsidRPr="00E267AB">
        <w:rPr>
          <w:lang w:val="fr-FR"/>
        </w:rPr>
        <w:t>, par ailleurs,</w:t>
      </w:r>
      <w:r w:rsidR="00B2535F" w:rsidRPr="00E267AB">
        <w:rPr>
          <w:lang w:val="fr-FR"/>
        </w:rPr>
        <w:t xml:space="preserve"> l</w:t>
      </w:r>
      <w:r w:rsidR="00DA5DF4" w:rsidRPr="00E267AB">
        <w:rPr>
          <w:lang w:val="fr-FR"/>
        </w:rPr>
        <w:t>e lien</w:t>
      </w:r>
      <w:r w:rsidR="00B2535F" w:rsidRPr="00E267AB">
        <w:rPr>
          <w:lang w:val="fr-FR"/>
        </w:rPr>
        <w:t xml:space="preserve"> symbiotique </w:t>
      </w:r>
      <w:r w:rsidR="00294BBA" w:rsidRPr="00E267AB">
        <w:rPr>
          <w:lang w:val="fr-FR"/>
        </w:rPr>
        <w:t xml:space="preserve">existant </w:t>
      </w:r>
      <w:r w:rsidR="004A583D" w:rsidRPr="00E267AB">
        <w:rPr>
          <w:lang w:val="fr-FR"/>
        </w:rPr>
        <w:t>entre elle et</w:t>
      </w:r>
      <w:r w:rsidR="00DA5DF4" w:rsidRPr="00E267AB">
        <w:rPr>
          <w:lang w:val="fr-FR"/>
        </w:rPr>
        <w:t xml:space="preserve"> </w:t>
      </w:r>
      <w:r w:rsidR="00B2535F" w:rsidRPr="00E267AB">
        <w:rPr>
          <w:lang w:val="fr-FR"/>
        </w:rPr>
        <w:t>sa mère l</w:t>
      </w:r>
      <w:r w:rsidR="00E267AB" w:rsidRPr="00E267AB">
        <w:rPr>
          <w:lang w:val="fr-FR"/>
        </w:rPr>
        <w:t>’</w:t>
      </w:r>
      <w:r w:rsidR="00B2535F" w:rsidRPr="00E267AB">
        <w:rPr>
          <w:lang w:val="fr-FR"/>
        </w:rPr>
        <w:t>empêchait d</w:t>
      </w:r>
      <w:r w:rsidR="00E267AB" w:rsidRPr="00E267AB">
        <w:rPr>
          <w:lang w:val="fr-FR"/>
        </w:rPr>
        <w:t>’</w:t>
      </w:r>
      <w:r w:rsidR="00B2535F" w:rsidRPr="00E267AB">
        <w:rPr>
          <w:lang w:val="fr-FR"/>
        </w:rPr>
        <w:t>avoir un développement</w:t>
      </w:r>
      <w:r w:rsidR="00294BBA" w:rsidRPr="00E267AB">
        <w:rPr>
          <w:lang w:val="fr-FR"/>
        </w:rPr>
        <w:t xml:space="preserve"> adéquat et</w:t>
      </w:r>
      <w:r w:rsidR="00B2535F" w:rsidRPr="00E267AB">
        <w:rPr>
          <w:lang w:val="fr-FR"/>
        </w:rPr>
        <w:t xml:space="preserve"> comprometta</w:t>
      </w:r>
      <w:r w:rsidR="00294BBA" w:rsidRPr="00E267AB">
        <w:rPr>
          <w:lang w:val="fr-FR"/>
        </w:rPr>
        <w:t>i</w:t>
      </w:r>
      <w:r w:rsidR="00B2535F" w:rsidRPr="00E267AB">
        <w:rPr>
          <w:lang w:val="fr-FR"/>
        </w:rPr>
        <w:t>t ainsi l</w:t>
      </w:r>
      <w:r w:rsidR="00E267AB" w:rsidRPr="00E267AB">
        <w:rPr>
          <w:lang w:val="fr-FR"/>
        </w:rPr>
        <w:t>’</w:t>
      </w:r>
      <w:r w:rsidR="00B2535F" w:rsidRPr="00E267AB">
        <w:rPr>
          <w:lang w:val="fr-FR"/>
        </w:rPr>
        <w:t xml:space="preserve">évolution de ses </w:t>
      </w:r>
      <w:r w:rsidR="00294BBA" w:rsidRPr="00E267AB">
        <w:rPr>
          <w:lang w:val="fr-FR"/>
        </w:rPr>
        <w:t>relations</w:t>
      </w:r>
      <w:r w:rsidR="00B2535F" w:rsidRPr="00E267AB">
        <w:rPr>
          <w:lang w:val="fr-FR"/>
        </w:rPr>
        <w:t xml:space="preserve"> avec le requérant.</w:t>
      </w:r>
    </w:p>
    <w:p w:rsidR="000E2A18" w:rsidRPr="00E267AB" w:rsidRDefault="000E2A18"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50</w:t>
      </w:r>
      <w:r w:rsidRPr="00E267AB">
        <w:rPr>
          <w:lang w:val="fr-FR"/>
        </w:rPr>
        <w:fldChar w:fldCharType="end"/>
      </w:r>
      <w:r w:rsidRPr="00E267AB">
        <w:rPr>
          <w:lang w:val="fr-FR"/>
        </w:rPr>
        <w:t>.  </w:t>
      </w:r>
      <w:r w:rsidR="00B2535F" w:rsidRPr="00E267AB">
        <w:rPr>
          <w:lang w:val="fr-FR"/>
        </w:rPr>
        <w:t>Par conséquent, les experts conseill</w:t>
      </w:r>
      <w:r w:rsidR="00E65B9C" w:rsidRPr="00E267AB">
        <w:rPr>
          <w:lang w:val="fr-FR"/>
        </w:rPr>
        <w:t>aient une reprise immédiate d</w:t>
      </w:r>
      <w:r w:rsidR="00B2535F" w:rsidRPr="00E267AB">
        <w:rPr>
          <w:lang w:val="fr-FR"/>
        </w:rPr>
        <w:t xml:space="preserve">es contacts </w:t>
      </w:r>
      <w:r w:rsidR="00E65B9C" w:rsidRPr="00E267AB">
        <w:rPr>
          <w:lang w:val="fr-FR"/>
        </w:rPr>
        <w:t>entre S. et</w:t>
      </w:r>
      <w:r w:rsidR="00B2535F" w:rsidRPr="00E267AB">
        <w:rPr>
          <w:lang w:val="fr-FR"/>
        </w:rPr>
        <w:t xml:space="preserve"> le requérant afin de pr</w:t>
      </w:r>
      <w:r w:rsidR="00E65B9C" w:rsidRPr="00E267AB">
        <w:rPr>
          <w:lang w:val="fr-FR"/>
        </w:rPr>
        <w:t>éserver</w:t>
      </w:r>
      <w:r w:rsidR="00B2535F" w:rsidRPr="00E267AB">
        <w:rPr>
          <w:lang w:val="fr-FR"/>
        </w:rPr>
        <w:t xml:space="preserve"> le développement de </w:t>
      </w:r>
      <w:r w:rsidR="00E65B9C" w:rsidRPr="00E267AB">
        <w:rPr>
          <w:lang w:val="fr-FR"/>
        </w:rPr>
        <w:t>l</w:t>
      </w:r>
      <w:r w:rsidR="00E267AB" w:rsidRPr="00E267AB">
        <w:rPr>
          <w:lang w:val="fr-FR"/>
        </w:rPr>
        <w:t>’</w:t>
      </w:r>
      <w:r w:rsidR="00E65B9C" w:rsidRPr="00E267AB">
        <w:rPr>
          <w:lang w:val="fr-FR"/>
        </w:rPr>
        <w:t>enfant</w:t>
      </w:r>
      <w:r w:rsidR="00B2535F" w:rsidRPr="00E267AB">
        <w:rPr>
          <w:lang w:val="fr-FR"/>
        </w:rPr>
        <w:t>.</w:t>
      </w:r>
    </w:p>
    <w:p w:rsidR="00B2535F" w:rsidRPr="00E267AB" w:rsidRDefault="00E65B9C" w:rsidP="00E267AB">
      <w:pPr>
        <w:pStyle w:val="ECHRPara"/>
        <w:rPr>
          <w:lang w:val="fr-FR"/>
        </w:rPr>
      </w:pPr>
      <w:r w:rsidRPr="00E267AB">
        <w:rPr>
          <w:lang w:val="fr-FR"/>
        </w:rPr>
        <w:t>Ils préconisaient aussi le suivi d</w:t>
      </w:r>
      <w:r w:rsidR="00E267AB" w:rsidRPr="00E267AB">
        <w:rPr>
          <w:lang w:val="fr-FR"/>
        </w:rPr>
        <w:t>’</w:t>
      </w:r>
      <w:r w:rsidRPr="00E267AB">
        <w:rPr>
          <w:lang w:val="fr-FR"/>
        </w:rPr>
        <w:t>u</w:t>
      </w:r>
      <w:r w:rsidR="00B2535F" w:rsidRPr="00E267AB">
        <w:rPr>
          <w:lang w:val="fr-FR"/>
        </w:rPr>
        <w:t xml:space="preserve">ne thérapie psychologique </w:t>
      </w:r>
      <w:r w:rsidRPr="00E267AB">
        <w:rPr>
          <w:lang w:val="fr-FR"/>
        </w:rPr>
        <w:t xml:space="preserve">par N.R. </w:t>
      </w:r>
      <w:r w:rsidR="00B2535F" w:rsidRPr="00E267AB">
        <w:rPr>
          <w:lang w:val="fr-FR"/>
        </w:rPr>
        <w:t xml:space="preserve">afin </w:t>
      </w:r>
      <w:r w:rsidRPr="00E267AB">
        <w:rPr>
          <w:lang w:val="fr-FR"/>
        </w:rPr>
        <w:t xml:space="preserve">de </w:t>
      </w:r>
      <w:r w:rsidR="007C1881" w:rsidRPr="00E267AB">
        <w:rPr>
          <w:lang w:val="fr-FR"/>
        </w:rPr>
        <w:t xml:space="preserve">normaliser le lien </w:t>
      </w:r>
      <w:r w:rsidRPr="00E267AB">
        <w:rPr>
          <w:lang w:val="fr-FR"/>
        </w:rPr>
        <w:t xml:space="preserve">entre celle-ci et </w:t>
      </w:r>
      <w:r w:rsidR="00B2535F" w:rsidRPr="00E267AB">
        <w:rPr>
          <w:lang w:val="fr-FR"/>
        </w:rPr>
        <w:t xml:space="preserve">sa fille. Le rapport concluait en suggérant </w:t>
      </w:r>
      <w:r w:rsidRPr="00E267AB">
        <w:rPr>
          <w:lang w:val="fr-FR"/>
        </w:rPr>
        <w:t>le</w:t>
      </w:r>
      <w:r w:rsidR="00B2535F" w:rsidRPr="00E267AB">
        <w:rPr>
          <w:lang w:val="fr-FR"/>
        </w:rPr>
        <w:t xml:space="preserve"> place</w:t>
      </w:r>
      <w:r w:rsidRPr="00E267AB">
        <w:rPr>
          <w:lang w:val="fr-FR"/>
        </w:rPr>
        <w:t>ment de</w:t>
      </w:r>
      <w:r w:rsidR="00B2535F" w:rsidRPr="00E267AB">
        <w:rPr>
          <w:lang w:val="fr-FR"/>
        </w:rPr>
        <w:t xml:space="preserve"> S. chez </w:t>
      </w:r>
      <w:r w:rsidRPr="00E267AB">
        <w:rPr>
          <w:lang w:val="fr-FR"/>
        </w:rPr>
        <w:t>s</w:t>
      </w:r>
      <w:r w:rsidR="00B2535F" w:rsidRPr="00E267AB">
        <w:rPr>
          <w:lang w:val="fr-FR"/>
        </w:rPr>
        <w:t xml:space="preserve">es grands-parents paternels pour </w:t>
      </w:r>
      <w:r w:rsidRPr="00E267AB">
        <w:rPr>
          <w:lang w:val="fr-FR"/>
        </w:rPr>
        <w:t>permettre à l</w:t>
      </w:r>
      <w:r w:rsidR="00E267AB" w:rsidRPr="00E267AB">
        <w:rPr>
          <w:lang w:val="fr-FR"/>
        </w:rPr>
        <w:t>’</w:t>
      </w:r>
      <w:r w:rsidRPr="00E267AB">
        <w:rPr>
          <w:lang w:val="fr-FR"/>
        </w:rPr>
        <w:t>enfant de</w:t>
      </w:r>
      <w:r w:rsidR="00B2535F" w:rsidRPr="00E267AB">
        <w:rPr>
          <w:lang w:val="fr-FR"/>
        </w:rPr>
        <w:t xml:space="preserve"> se rapprocher de son père et </w:t>
      </w:r>
      <w:r w:rsidRPr="00E267AB">
        <w:rPr>
          <w:lang w:val="fr-FR"/>
        </w:rPr>
        <w:t>d</w:t>
      </w:r>
      <w:r w:rsidR="00E267AB" w:rsidRPr="00E267AB">
        <w:rPr>
          <w:lang w:val="fr-FR"/>
        </w:rPr>
        <w:t>’</w:t>
      </w:r>
      <w:r w:rsidRPr="00E267AB">
        <w:rPr>
          <w:lang w:val="fr-FR"/>
        </w:rPr>
        <w:t>établir des relations</w:t>
      </w:r>
      <w:r w:rsidR="00B2535F" w:rsidRPr="00E267AB">
        <w:rPr>
          <w:lang w:val="fr-FR"/>
        </w:rPr>
        <w:t xml:space="preserve"> plus équilibré</w:t>
      </w:r>
      <w:r w:rsidRPr="00E267AB">
        <w:rPr>
          <w:lang w:val="fr-FR"/>
        </w:rPr>
        <w:t>es</w:t>
      </w:r>
      <w:r w:rsidR="00B2535F" w:rsidRPr="00E267AB">
        <w:rPr>
          <w:lang w:val="fr-FR"/>
        </w:rPr>
        <w:t xml:space="preserve"> avec sa mère. </w:t>
      </w:r>
      <w:r w:rsidRPr="00E267AB">
        <w:rPr>
          <w:lang w:val="fr-FR"/>
        </w:rPr>
        <w:t>À</w:t>
      </w:r>
      <w:r w:rsidR="00B2535F" w:rsidRPr="00E267AB">
        <w:rPr>
          <w:lang w:val="fr-FR"/>
        </w:rPr>
        <w:t xml:space="preserve"> défaut, </w:t>
      </w:r>
      <w:r w:rsidRPr="00E267AB">
        <w:rPr>
          <w:lang w:val="fr-FR"/>
        </w:rPr>
        <w:t xml:space="preserve">selon les psychologues, </w:t>
      </w:r>
      <w:r w:rsidR="00B2535F" w:rsidRPr="00E267AB">
        <w:rPr>
          <w:lang w:val="fr-FR"/>
        </w:rPr>
        <w:t>la seule solution était de déchoir la mère de son autorité parentale.</w:t>
      </w:r>
    </w:p>
    <w:p w:rsidR="00B2535F" w:rsidRPr="00E267AB" w:rsidRDefault="000E2A18"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51</w:t>
      </w:r>
      <w:r w:rsidRPr="00E267AB">
        <w:rPr>
          <w:lang w:val="fr-FR"/>
        </w:rPr>
        <w:fldChar w:fldCharType="end"/>
      </w:r>
      <w:r w:rsidRPr="00E267AB">
        <w:rPr>
          <w:lang w:val="fr-FR"/>
        </w:rPr>
        <w:t>.  </w:t>
      </w:r>
      <w:r w:rsidR="00B2535F" w:rsidRPr="00E267AB">
        <w:rPr>
          <w:lang w:val="fr-FR"/>
        </w:rPr>
        <w:t xml:space="preserve">Le 22 janvier 2013, le procureur demanda au tribunal pour enfants de Florence de </w:t>
      </w:r>
      <w:r w:rsidR="00E65B9C" w:rsidRPr="00E267AB">
        <w:rPr>
          <w:lang w:val="fr-FR"/>
        </w:rPr>
        <w:t xml:space="preserve">décider le </w:t>
      </w:r>
      <w:r w:rsidR="00B2535F" w:rsidRPr="00E267AB">
        <w:rPr>
          <w:lang w:val="fr-FR"/>
        </w:rPr>
        <w:t>place</w:t>
      </w:r>
      <w:r w:rsidR="00E65B9C" w:rsidRPr="00E267AB">
        <w:rPr>
          <w:lang w:val="fr-FR"/>
        </w:rPr>
        <w:t>ment de</w:t>
      </w:r>
      <w:r w:rsidR="00B2535F" w:rsidRPr="00E267AB">
        <w:rPr>
          <w:lang w:val="fr-FR"/>
        </w:rPr>
        <w:t xml:space="preserve"> l</w:t>
      </w:r>
      <w:r w:rsidR="00E267AB" w:rsidRPr="00E267AB">
        <w:rPr>
          <w:lang w:val="fr-FR"/>
        </w:rPr>
        <w:t>’</w:t>
      </w:r>
      <w:r w:rsidR="00B2535F" w:rsidRPr="00E267AB">
        <w:rPr>
          <w:lang w:val="fr-FR"/>
        </w:rPr>
        <w:t xml:space="preserve">enfant chez </w:t>
      </w:r>
      <w:r w:rsidR="00E65B9C" w:rsidRPr="00E267AB">
        <w:rPr>
          <w:lang w:val="fr-FR"/>
        </w:rPr>
        <w:t>s</w:t>
      </w:r>
      <w:r w:rsidR="00B2535F" w:rsidRPr="00E267AB">
        <w:rPr>
          <w:lang w:val="fr-FR"/>
        </w:rPr>
        <w:t>es grands-parents et de prévoir des rencontres</w:t>
      </w:r>
      <w:r w:rsidR="00B41FA9" w:rsidRPr="00E267AB">
        <w:rPr>
          <w:lang w:val="fr-FR"/>
        </w:rPr>
        <w:t xml:space="preserve"> en milieu protégé </w:t>
      </w:r>
      <w:r w:rsidR="00B2535F" w:rsidRPr="00E267AB">
        <w:rPr>
          <w:lang w:val="fr-FR"/>
        </w:rPr>
        <w:t>avec les deux parents.</w:t>
      </w:r>
    </w:p>
    <w:p w:rsidR="00B2535F" w:rsidRPr="00E267AB" w:rsidRDefault="000E2A18"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52</w:t>
      </w:r>
      <w:r w:rsidRPr="00E267AB">
        <w:rPr>
          <w:lang w:val="fr-FR"/>
        </w:rPr>
        <w:fldChar w:fldCharType="end"/>
      </w:r>
      <w:r w:rsidRPr="00E267AB">
        <w:rPr>
          <w:lang w:val="fr-FR"/>
        </w:rPr>
        <w:t>.  </w:t>
      </w:r>
      <w:r w:rsidR="00B2535F" w:rsidRPr="00E267AB">
        <w:rPr>
          <w:lang w:val="fr-FR"/>
        </w:rPr>
        <w:t xml:space="preserve">Par une décision du 16 avril 2013, le tribunal pour enfants </w:t>
      </w:r>
      <w:r w:rsidR="00312952" w:rsidRPr="00E267AB">
        <w:rPr>
          <w:lang w:val="fr-FR"/>
        </w:rPr>
        <w:t>constata</w:t>
      </w:r>
      <w:r w:rsidR="00B2535F" w:rsidRPr="00E267AB">
        <w:rPr>
          <w:lang w:val="fr-FR"/>
        </w:rPr>
        <w:t xml:space="preserve"> tout d</w:t>
      </w:r>
      <w:r w:rsidR="00E267AB" w:rsidRPr="00E267AB">
        <w:rPr>
          <w:lang w:val="fr-FR"/>
        </w:rPr>
        <w:t>’</w:t>
      </w:r>
      <w:r w:rsidR="00B2535F" w:rsidRPr="00E267AB">
        <w:rPr>
          <w:lang w:val="fr-FR"/>
        </w:rPr>
        <w:t>abord qu</w:t>
      </w:r>
      <w:r w:rsidR="00EF364B" w:rsidRPr="00E267AB">
        <w:rPr>
          <w:lang w:val="fr-FR"/>
        </w:rPr>
        <w:t>e</w:t>
      </w:r>
      <w:r w:rsidR="00B2535F" w:rsidRPr="00E267AB">
        <w:rPr>
          <w:lang w:val="fr-FR"/>
        </w:rPr>
        <w:t xml:space="preserve"> S.</w:t>
      </w:r>
      <w:r w:rsidR="00EF364B" w:rsidRPr="00E267AB">
        <w:rPr>
          <w:lang w:val="fr-FR"/>
        </w:rPr>
        <w:t xml:space="preserve"> ne </w:t>
      </w:r>
      <w:r w:rsidR="008D64A2" w:rsidRPr="00E267AB">
        <w:rPr>
          <w:lang w:val="fr-FR"/>
        </w:rPr>
        <w:t xml:space="preserve">pouvait </w:t>
      </w:r>
      <w:r w:rsidR="007C1881" w:rsidRPr="00E267AB">
        <w:rPr>
          <w:lang w:val="fr-FR"/>
        </w:rPr>
        <w:t xml:space="preserve">ni </w:t>
      </w:r>
      <w:r w:rsidR="00B2535F" w:rsidRPr="00E267AB">
        <w:rPr>
          <w:lang w:val="fr-FR"/>
        </w:rPr>
        <w:t xml:space="preserve">grandir </w:t>
      </w:r>
      <w:r w:rsidR="007C1881" w:rsidRPr="00E267AB">
        <w:rPr>
          <w:lang w:val="fr-FR"/>
        </w:rPr>
        <w:t xml:space="preserve">ni </w:t>
      </w:r>
      <w:r w:rsidR="00B2535F" w:rsidRPr="00E267AB">
        <w:rPr>
          <w:lang w:val="fr-FR"/>
        </w:rPr>
        <w:t>franchir toutes les étapes du développement</w:t>
      </w:r>
      <w:r w:rsidR="00EF364B" w:rsidRPr="00E267AB">
        <w:rPr>
          <w:lang w:val="fr-FR"/>
        </w:rPr>
        <w:t xml:space="preserve"> librement</w:t>
      </w:r>
      <w:r w:rsidR="00B2535F" w:rsidRPr="00E267AB">
        <w:rPr>
          <w:lang w:val="fr-FR"/>
        </w:rPr>
        <w:t>. Selon le tribunal, la situation durait depuis trop longtemps et les dangers pour S. étaient tr</w:t>
      </w:r>
      <w:r w:rsidR="008F3B51" w:rsidRPr="00E267AB">
        <w:rPr>
          <w:lang w:val="fr-FR"/>
        </w:rPr>
        <w:t>ès</w:t>
      </w:r>
      <w:r w:rsidR="00B2535F" w:rsidRPr="00E267AB">
        <w:rPr>
          <w:lang w:val="fr-FR"/>
        </w:rPr>
        <w:t xml:space="preserve"> élevés. Le tribunal décida toutefois de ne pas déchoir la mère de son autorité parentale, </w:t>
      </w:r>
      <w:r w:rsidR="00312952" w:rsidRPr="00E267AB">
        <w:rPr>
          <w:lang w:val="fr-FR"/>
        </w:rPr>
        <w:t xml:space="preserve">et ce </w:t>
      </w:r>
      <w:r w:rsidR="00B2535F" w:rsidRPr="00E267AB">
        <w:rPr>
          <w:lang w:val="fr-FR"/>
        </w:rPr>
        <w:t>afin de ne pas traumatiser l</w:t>
      </w:r>
      <w:r w:rsidR="00E267AB" w:rsidRPr="00E267AB">
        <w:rPr>
          <w:lang w:val="fr-FR"/>
        </w:rPr>
        <w:t>’</w:t>
      </w:r>
      <w:r w:rsidR="00B55EFF" w:rsidRPr="00E267AB">
        <w:rPr>
          <w:lang w:val="fr-FR"/>
        </w:rPr>
        <w:t>enfant</w:t>
      </w:r>
      <w:r w:rsidR="00B2535F" w:rsidRPr="00E267AB">
        <w:rPr>
          <w:lang w:val="fr-FR"/>
        </w:rPr>
        <w:t>, et</w:t>
      </w:r>
      <w:r w:rsidR="00312952" w:rsidRPr="00E267AB">
        <w:rPr>
          <w:lang w:val="fr-FR"/>
        </w:rPr>
        <w:t xml:space="preserve"> il</w:t>
      </w:r>
      <w:r w:rsidR="00B2535F" w:rsidRPr="00E267AB">
        <w:rPr>
          <w:lang w:val="fr-FR"/>
        </w:rPr>
        <w:t xml:space="preserve"> ordonna</w:t>
      </w:r>
      <w:r w:rsidR="009076CE" w:rsidRPr="00E267AB">
        <w:rPr>
          <w:lang w:val="fr-FR"/>
        </w:rPr>
        <w:t xml:space="preserve"> </w:t>
      </w:r>
      <w:r w:rsidR="00B2535F" w:rsidRPr="00E267AB">
        <w:rPr>
          <w:lang w:val="fr-FR"/>
        </w:rPr>
        <w:t xml:space="preserve">que </w:t>
      </w:r>
      <w:r w:rsidR="00B55EFF" w:rsidRPr="00E267AB">
        <w:rPr>
          <w:lang w:val="fr-FR"/>
        </w:rPr>
        <w:t>celle-ci</w:t>
      </w:r>
      <w:r w:rsidR="00B2535F" w:rsidRPr="00E267AB">
        <w:rPr>
          <w:lang w:val="fr-FR"/>
        </w:rPr>
        <w:t xml:space="preserve"> </w:t>
      </w:r>
      <w:r w:rsidR="00EC08CB" w:rsidRPr="00E267AB">
        <w:rPr>
          <w:lang w:val="fr-FR"/>
        </w:rPr>
        <w:t>demeurât</w:t>
      </w:r>
      <w:r w:rsidR="00B2535F" w:rsidRPr="00E267AB">
        <w:rPr>
          <w:lang w:val="fr-FR"/>
        </w:rPr>
        <w:t xml:space="preserve"> chez </w:t>
      </w:r>
      <w:r w:rsidR="00DA2B28" w:rsidRPr="00E267AB">
        <w:rPr>
          <w:lang w:val="fr-FR"/>
        </w:rPr>
        <w:t>s</w:t>
      </w:r>
      <w:r w:rsidR="00B2535F" w:rsidRPr="00E267AB">
        <w:rPr>
          <w:lang w:val="fr-FR"/>
        </w:rPr>
        <w:t>a mère et qu</w:t>
      </w:r>
      <w:r w:rsidR="00E267AB" w:rsidRPr="00E267AB">
        <w:rPr>
          <w:lang w:val="fr-FR"/>
        </w:rPr>
        <w:t>’</w:t>
      </w:r>
      <w:r w:rsidR="00B2535F" w:rsidRPr="00E267AB">
        <w:rPr>
          <w:lang w:val="fr-FR"/>
        </w:rPr>
        <w:t xml:space="preserve">elle </w:t>
      </w:r>
      <w:r w:rsidR="00312952" w:rsidRPr="00E267AB">
        <w:rPr>
          <w:lang w:val="fr-FR"/>
        </w:rPr>
        <w:t>fût</w:t>
      </w:r>
      <w:r w:rsidR="00B2535F" w:rsidRPr="00E267AB">
        <w:rPr>
          <w:lang w:val="fr-FR"/>
        </w:rPr>
        <w:t xml:space="preserve"> suivie par </w:t>
      </w:r>
      <w:r w:rsidR="00DA2B28" w:rsidRPr="00E267AB">
        <w:rPr>
          <w:lang w:val="fr-FR"/>
        </w:rPr>
        <w:t>d</w:t>
      </w:r>
      <w:r w:rsidR="00B2535F" w:rsidRPr="00E267AB">
        <w:rPr>
          <w:lang w:val="fr-FR"/>
        </w:rPr>
        <w:t xml:space="preserve">es psychologues et les services sociaux afin de </w:t>
      </w:r>
      <w:r w:rsidR="00B55EFF" w:rsidRPr="00E267AB">
        <w:rPr>
          <w:lang w:val="fr-FR"/>
        </w:rPr>
        <w:t xml:space="preserve">permettre une </w:t>
      </w:r>
      <w:r w:rsidR="00DA2B28" w:rsidRPr="00E267AB">
        <w:rPr>
          <w:lang w:val="fr-FR"/>
        </w:rPr>
        <w:t>restaur</w:t>
      </w:r>
      <w:r w:rsidR="00B55EFF" w:rsidRPr="00E267AB">
        <w:rPr>
          <w:lang w:val="fr-FR"/>
        </w:rPr>
        <w:t>ation de</w:t>
      </w:r>
      <w:r w:rsidR="00B2535F" w:rsidRPr="00E267AB">
        <w:rPr>
          <w:lang w:val="fr-FR"/>
        </w:rPr>
        <w:t xml:space="preserve"> la relation avec </w:t>
      </w:r>
      <w:r w:rsidR="00B55EFF" w:rsidRPr="00E267AB">
        <w:rPr>
          <w:lang w:val="fr-FR"/>
        </w:rPr>
        <w:t>le</w:t>
      </w:r>
      <w:r w:rsidR="00B2535F" w:rsidRPr="00E267AB">
        <w:rPr>
          <w:lang w:val="fr-FR"/>
        </w:rPr>
        <w:t xml:space="preserve"> père. Il enjoignit à N.R. de respecter ces prescriptions</w:t>
      </w:r>
      <w:r w:rsidR="00312952" w:rsidRPr="00E267AB">
        <w:rPr>
          <w:lang w:val="fr-FR"/>
        </w:rPr>
        <w:t> :</w:t>
      </w:r>
      <w:r w:rsidR="00B2535F" w:rsidRPr="00E267AB">
        <w:rPr>
          <w:lang w:val="fr-FR"/>
        </w:rPr>
        <w:t xml:space="preserve"> à défaut</w:t>
      </w:r>
      <w:r w:rsidR="00EC08CB" w:rsidRPr="00E267AB">
        <w:rPr>
          <w:lang w:val="fr-FR"/>
        </w:rPr>
        <w:t>,</w:t>
      </w:r>
      <w:r w:rsidR="00B2535F" w:rsidRPr="00E267AB">
        <w:rPr>
          <w:lang w:val="fr-FR"/>
        </w:rPr>
        <w:t xml:space="preserve"> </w:t>
      </w:r>
      <w:r w:rsidR="00312952" w:rsidRPr="00E267AB">
        <w:rPr>
          <w:lang w:val="fr-FR"/>
        </w:rPr>
        <w:t>celle-ci</w:t>
      </w:r>
      <w:r w:rsidR="00B2535F" w:rsidRPr="00E267AB">
        <w:rPr>
          <w:lang w:val="fr-FR"/>
        </w:rPr>
        <w:t xml:space="preserve"> serait déchue de son autorité parentale et l</w:t>
      </w:r>
      <w:r w:rsidR="00E267AB" w:rsidRPr="00E267AB">
        <w:rPr>
          <w:lang w:val="fr-FR"/>
        </w:rPr>
        <w:t>’</w:t>
      </w:r>
      <w:r w:rsidR="00B2535F" w:rsidRPr="00E267AB">
        <w:rPr>
          <w:lang w:val="fr-FR"/>
        </w:rPr>
        <w:t xml:space="preserve">enfant </w:t>
      </w:r>
      <w:r w:rsidR="00A21499" w:rsidRPr="00E267AB">
        <w:rPr>
          <w:lang w:val="fr-FR"/>
        </w:rPr>
        <w:t>ferait l</w:t>
      </w:r>
      <w:r w:rsidR="00E267AB" w:rsidRPr="00E267AB">
        <w:rPr>
          <w:lang w:val="fr-FR"/>
        </w:rPr>
        <w:t>’</w:t>
      </w:r>
      <w:r w:rsidR="00A21499" w:rsidRPr="00E267AB">
        <w:rPr>
          <w:lang w:val="fr-FR"/>
        </w:rPr>
        <w:t>objet d</w:t>
      </w:r>
      <w:r w:rsidR="00E267AB" w:rsidRPr="00E267AB">
        <w:rPr>
          <w:lang w:val="fr-FR"/>
        </w:rPr>
        <w:t>’</w:t>
      </w:r>
      <w:r w:rsidR="00A21499" w:rsidRPr="00E267AB">
        <w:rPr>
          <w:lang w:val="fr-FR"/>
        </w:rPr>
        <w:t>un placement</w:t>
      </w:r>
      <w:r w:rsidR="00B2535F" w:rsidRPr="00E267AB">
        <w:rPr>
          <w:lang w:val="fr-FR"/>
        </w:rPr>
        <w:t xml:space="preserve">. </w:t>
      </w:r>
      <w:r w:rsidR="00DA2B28" w:rsidRPr="00E267AB">
        <w:rPr>
          <w:lang w:val="fr-FR"/>
        </w:rPr>
        <w:t xml:space="preserve">En outre, </w:t>
      </w:r>
      <w:r w:rsidR="00B55EFF" w:rsidRPr="00E267AB">
        <w:rPr>
          <w:lang w:val="fr-FR"/>
        </w:rPr>
        <w:t>le tribunal</w:t>
      </w:r>
      <w:r w:rsidR="00B2535F" w:rsidRPr="00E267AB">
        <w:rPr>
          <w:lang w:val="fr-FR"/>
        </w:rPr>
        <w:t xml:space="preserve"> </w:t>
      </w:r>
      <w:r w:rsidR="00B2535F" w:rsidRPr="00E267AB">
        <w:rPr>
          <w:lang w:val="fr-FR"/>
        </w:rPr>
        <w:lastRenderedPageBreak/>
        <w:t>demanda aux services sociaux de rédiger un rapport dans les six mois. Aucune indication quant aux rencontres avec le requérant ne fut donnée.</w:t>
      </w:r>
    </w:p>
    <w:p w:rsidR="00B21E1F" w:rsidRPr="00E267AB" w:rsidRDefault="000E2A18"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53</w:t>
      </w:r>
      <w:r w:rsidRPr="00E267AB">
        <w:rPr>
          <w:lang w:val="fr-FR"/>
        </w:rPr>
        <w:fldChar w:fldCharType="end"/>
      </w:r>
      <w:r w:rsidRPr="00E267AB">
        <w:rPr>
          <w:lang w:val="fr-FR"/>
        </w:rPr>
        <w:t>.  </w:t>
      </w:r>
      <w:r w:rsidR="00312952" w:rsidRPr="00E267AB">
        <w:rPr>
          <w:lang w:val="fr-FR"/>
        </w:rPr>
        <w:t>À</w:t>
      </w:r>
      <w:r w:rsidRPr="00E267AB">
        <w:rPr>
          <w:lang w:val="fr-FR"/>
        </w:rPr>
        <w:t xml:space="preserve"> une date non précisée, le requérant interjeta appel de </w:t>
      </w:r>
      <w:r w:rsidR="009076CE" w:rsidRPr="00E267AB">
        <w:rPr>
          <w:lang w:val="fr-FR"/>
        </w:rPr>
        <w:t>cette</w:t>
      </w:r>
      <w:r w:rsidRPr="00E267AB">
        <w:rPr>
          <w:lang w:val="fr-FR"/>
        </w:rPr>
        <w:t xml:space="preserve"> décision</w:t>
      </w:r>
      <w:r w:rsidR="00912DC6" w:rsidRPr="00E267AB">
        <w:rPr>
          <w:lang w:val="fr-FR"/>
        </w:rPr>
        <w:t>.</w:t>
      </w:r>
    </w:p>
    <w:p w:rsidR="009F1444" w:rsidRPr="00E267AB" w:rsidRDefault="009F1444"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54</w:t>
      </w:r>
      <w:r w:rsidRPr="00E267AB">
        <w:rPr>
          <w:lang w:val="fr-FR"/>
        </w:rPr>
        <w:fldChar w:fldCharType="end"/>
      </w:r>
      <w:r w:rsidRPr="00E267AB">
        <w:rPr>
          <w:lang w:val="fr-FR"/>
        </w:rPr>
        <w:t>.  Selon un rapport des services sociaux de 2013</w:t>
      </w:r>
      <w:r w:rsidR="00DA2B28" w:rsidRPr="00E267AB">
        <w:rPr>
          <w:lang w:val="fr-FR"/>
        </w:rPr>
        <w:t>,</w:t>
      </w:r>
      <w:r w:rsidRPr="00E267AB">
        <w:rPr>
          <w:lang w:val="fr-FR"/>
        </w:rPr>
        <w:t xml:space="preserve"> </w:t>
      </w:r>
      <w:r w:rsidR="00590250" w:rsidRPr="00E267AB">
        <w:rPr>
          <w:lang w:val="fr-FR"/>
        </w:rPr>
        <w:t>plusieurs</w:t>
      </w:r>
      <w:r w:rsidRPr="00E267AB">
        <w:rPr>
          <w:lang w:val="fr-FR"/>
        </w:rPr>
        <w:t xml:space="preserve"> rencontres eurent lieu </w:t>
      </w:r>
      <w:r w:rsidR="00590250" w:rsidRPr="00E267AB">
        <w:rPr>
          <w:lang w:val="fr-FR"/>
        </w:rPr>
        <w:t>entre</w:t>
      </w:r>
      <w:r w:rsidRPr="00E267AB">
        <w:rPr>
          <w:lang w:val="fr-FR"/>
        </w:rPr>
        <w:t xml:space="preserve"> le requérant et l</w:t>
      </w:r>
      <w:r w:rsidR="00E267AB" w:rsidRPr="00E267AB">
        <w:rPr>
          <w:lang w:val="fr-FR"/>
        </w:rPr>
        <w:t>’</w:t>
      </w:r>
      <w:r w:rsidRPr="00E267AB">
        <w:rPr>
          <w:lang w:val="fr-FR"/>
        </w:rPr>
        <w:t>enfa</w:t>
      </w:r>
      <w:r w:rsidR="00590250" w:rsidRPr="00E267AB">
        <w:rPr>
          <w:lang w:val="fr-FR"/>
        </w:rPr>
        <w:t xml:space="preserve">nt. </w:t>
      </w:r>
      <w:r w:rsidR="00DA2B28" w:rsidRPr="00E267AB">
        <w:rPr>
          <w:lang w:val="fr-FR"/>
        </w:rPr>
        <w:t>D</w:t>
      </w:r>
      <w:r w:rsidR="00E267AB" w:rsidRPr="00E267AB">
        <w:rPr>
          <w:lang w:val="fr-FR"/>
        </w:rPr>
        <w:t>’</w:t>
      </w:r>
      <w:r w:rsidR="00DA2B28" w:rsidRPr="00E267AB">
        <w:rPr>
          <w:lang w:val="fr-FR"/>
        </w:rPr>
        <w:t xml:space="preserve">après ce rapport, le </w:t>
      </w:r>
      <w:r w:rsidR="00590250" w:rsidRPr="00E267AB">
        <w:rPr>
          <w:lang w:val="fr-FR"/>
        </w:rPr>
        <w:t xml:space="preserve">requérant </w:t>
      </w:r>
      <w:r w:rsidR="00DA2B28" w:rsidRPr="00E267AB">
        <w:rPr>
          <w:lang w:val="fr-FR"/>
        </w:rPr>
        <w:t xml:space="preserve">avait tenté </w:t>
      </w:r>
      <w:r w:rsidR="00590250" w:rsidRPr="00E267AB">
        <w:rPr>
          <w:lang w:val="fr-FR"/>
        </w:rPr>
        <w:t>d</w:t>
      </w:r>
      <w:r w:rsidRPr="00E267AB">
        <w:rPr>
          <w:lang w:val="fr-FR"/>
        </w:rPr>
        <w:t>e</w:t>
      </w:r>
      <w:r w:rsidR="00590250" w:rsidRPr="00E267AB">
        <w:rPr>
          <w:lang w:val="fr-FR"/>
        </w:rPr>
        <w:t xml:space="preserve"> </w:t>
      </w:r>
      <w:r w:rsidRPr="00E267AB">
        <w:rPr>
          <w:lang w:val="fr-FR"/>
        </w:rPr>
        <w:t>donner un cadeau à sa fille à l</w:t>
      </w:r>
      <w:r w:rsidR="00E267AB" w:rsidRPr="00E267AB">
        <w:rPr>
          <w:lang w:val="fr-FR"/>
        </w:rPr>
        <w:t>’</w:t>
      </w:r>
      <w:r w:rsidRPr="00E267AB">
        <w:rPr>
          <w:lang w:val="fr-FR"/>
        </w:rPr>
        <w:t xml:space="preserve">occasion de son </w:t>
      </w:r>
      <w:r w:rsidR="00590250" w:rsidRPr="00E267AB">
        <w:rPr>
          <w:lang w:val="fr-FR"/>
        </w:rPr>
        <w:t>anniversaire</w:t>
      </w:r>
      <w:r w:rsidRPr="00E267AB">
        <w:rPr>
          <w:lang w:val="fr-FR"/>
        </w:rPr>
        <w:t xml:space="preserve"> </w:t>
      </w:r>
      <w:r w:rsidR="00DA2B28" w:rsidRPr="00E267AB">
        <w:rPr>
          <w:lang w:val="fr-FR"/>
        </w:rPr>
        <w:t>mais n</w:t>
      </w:r>
      <w:r w:rsidR="00E267AB" w:rsidRPr="00E267AB">
        <w:rPr>
          <w:lang w:val="fr-FR"/>
        </w:rPr>
        <w:t>’</w:t>
      </w:r>
      <w:r w:rsidR="00DA2B28" w:rsidRPr="00E267AB">
        <w:rPr>
          <w:lang w:val="fr-FR"/>
        </w:rPr>
        <w:t>y était pas parvenu, et ce en dépit de</w:t>
      </w:r>
      <w:r w:rsidRPr="00E267AB">
        <w:rPr>
          <w:lang w:val="fr-FR"/>
        </w:rPr>
        <w:t xml:space="preserve"> la </w:t>
      </w:r>
      <w:r w:rsidR="00590250" w:rsidRPr="00E267AB">
        <w:rPr>
          <w:lang w:val="fr-FR"/>
        </w:rPr>
        <w:t>coopération</w:t>
      </w:r>
      <w:r w:rsidRPr="00E267AB">
        <w:rPr>
          <w:lang w:val="fr-FR"/>
        </w:rPr>
        <w:t xml:space="preserve"> de la mère</w:t>
      </w:r>
      <w:r w:rsidR="00DA2B28" w:rsidRPr="00E267AB">
        <w:rPr>
          <w:lang w:val="fr-FR"/>
        </w:rPr>
        <w:t>,</w:t>
      </w:r>
      <w:r w:rsidR="00B21E1F" w:rsidRPr="00E267AB">
        <w:rPr>
          <w:lang w:val="fr-FR"/>
        </w:rPr>
        <w:t xml:space="preserve"> </w:t>
      </w:r>
      <w:r w:rsidR="009076CE" w:rsidRPr="00E267AB">
        <w:rPr>
          <w:lang w:val="fr-FR"/>
        </w:rPr>
        <w:t>et,</w:t>
      </w:r>
      <w:r w:rsidR="00B21E1F" w:rsidRPr="00E267AB">
        <w:rPr>
          <w:lang w:val="fr-FR"/>
        </w:rPr>
        <w:t xml:space="preserve"> </w:t>
      </w:r>
      <w:r w:rsidR="00DA2B28" w:rsidRPr="00E267AB">
        <w:rPr>
          <w:lang w:val="fr-FR"/>
        </w:rPr>
        <w:t xml:space="preserve">à </w:t>
      </w:r>
      <w:r w:rsidRPr="00E267AB">
        <w:rPr>
          <w:lang w:val="fr-FR"/>
        </w:rPr>
        <w:t>cette occasion</w:t>
      </w:r>
      <w:r w:rsidR="00E75CE0" w:rsidRPr="00E267AB">
        <w:rPr>
          <w:lang w:val="fr-FR"/>
        </w:rPr>
        <w:t>,</w:t>
      </w:r>
      <w:r w:rsidRPr="00E267AB">
        <w:rPr>
          <w:lang w:val="fr-FR"/>
        </w:rPr>
        <w:t xml:space="preserve"> l</w:t>
      </w:r>
      <w:r w:rsidR="00E267AB" w:rsidRPr="00E267AB">
        <w:rPr>
          <w:lang w:val="fr-FR"/>
        </w:rPr>
        <w:t>’</w:t>
      </w:r>
      <w:r w:rsidRPr="00E267AB">
        <w:rPr>
          <w:lang w:val="fr-FR"/>
        </w:rPr>
        <w:t>enfant a</w:t>
      </w:r>
      <w:r w:rsidR="009076CE" w:rsidRPr="00E267AB">
        <w:rPr>
          <w:lang w:val="fr-FR"/>
        </w:rPr>
        <w:t>v</w:t>
      </w:r>
      <w:r w:rsidRPr="00E267AB">
        <w:rPr>
          <w:lang w:val="fr-FR"/>
        </w:rPr>
        <w:t>ait commencé à crier et demandé à partir.</w:t>
      </w:r>
    </w:p>
    <w:p w:rsidR="009F1444" w:rsidRPr="00E267AB" w:rsidRDefault="00BA6D83"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55</w:t>
      </w:r>
      <w:r w:rsidRPr="00E267AB">
        <w:rPr>
          <w:lang w:val="fr-FR"/>
        </w:rPr>
        <w:fldChar w:fldCharType="end"/>
      </w:r>
      <w:r w:rsidRPr="00E267AB">
        <w:rPr>
          <w:lang w:val="fr-FR"/>
        </w:rPr>
        <w:t>.  </w:t>
      </w:r>
      <w:r w:rsidR="009F1444" w:rsidRPr="00E267AB">
        <w:rPr>
          <w:lang w:val="fr-FR"/>
        </w:rPr>
        <w:t>Entre octobre 2013 et janvier 2014</w:t>
      </w:r>
      <w:r w:rsidR="0081320F" w:rsidRPr="00E267AB">
        <w:rPr>
          <w:lang w:val="fr-FR"/>
        </w:rPr>
        <w:t>,</w:t>
      </w:r>
      <w:r w:rsidR="009F1444" w:rsidRPr="00E267AB">
        <w:rPr>
          <w:lang w:val="fr-FR"/>
        </w:rPr>
        <w:t xml:space="preserve"> </w:t>
      </w:r>
      <w:r w:rsidR="00590250" w:rsidRPr="00E267AB">
        <w:rPr>
          <w:lang w:val="fr-FR"/>
        </w:rPr>
        <w:t>quelques</w:t>
      </w:r>
      <w:r w:rsidR="00185E4C" w:rsidRPr="00E267AB">
        <w:rPr>
          <w:lang w:val="fr-FR"/>
        </w:rPr>
        <w:t xml:space="preserve"> rencontres eu</w:t>
      </w:r>
      <w:r w:rsidR="0081320F" w:rsidRPr="00E267AB">
        <w:rPr>
          <w:lang w:val="fr-FR"/>
        </w:rPr>
        <w:t>rent</w:t>
      </w:r>
      <w:r w:rsidR="00185E4C" w:rsidRPr="00E267AB">
        <w:rPr>
          <w:lang w:val="fr-FR"/>
        </w:rPr>
        <w:t xml:space="preserve"> lieu</w:t>
      </w:r>
      <w:r w:rsidR="009076CE" w:rsidRPr="00E267AB">
        <w:rPr>
          <w:lang w:val="fr-FR"/>
        </w:rPr>
        <w:t xml:space="preserve">, mais </w:t>
      </w:r>
      <w:r w:rsidR="00185E4C" w:rsidRPr="00E267AB">
        <w:rPr>
          <w:lang w:val="fr-FR"/>
        </w:rPr>
        <w:t>l</w:t>
      </w:r>
      <w:r w:rsidR="00E267AB" w:rsidRPr="00E267AB">
        <w:rPr>
          <w:lang w:val="fr-FR"/>
        </w:rPr>
        <w:t>’</w:t>
      </w:r>
      <w:r w:rsidR="00185E4C" w:rsidRPr="00E267AB">
        <w:rPr>
          <w:lang w:val="fr-FR"/>
        </w:rPr>
        <w:t xml:space="preserve">enfant ne parlait jamais </w:t>
      </w:r>
      <w:r w:rsidR="00590250" w:rsidRPr="00E267AB">
        <w:rPr>
          <w:lang w:val="fr-FR"/>
        </w:rPr>
        <w:t>spontanément</w:t>
      </w:r>
      <w:r w:rsidR="00185E4C" w:rsidRPr="00E267AB">
        <w:rPr>
          <w:lang w:val="fr-FR"/>
        </w:rPr>
        <w:t xml:space="preserve"> de son père.</w:t>
      </w:r>
    </w:p>
    <w:p w:rsidR="00B21E1F" w:rsidRPr="00E267AB" w:rsidRDefault="00BA6D83"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56</w:t>
      </w:r>
      <w:r w:rsidRPr="00E267AB">
        <w:rPr>
          <w:lang w:val="fr-FR"/>
        </w:rPr>
        <w:fldChar w:fldCharType="end"/>
      </w:r>
      <w:r w:rsidRPr="00E267AB">
        <w:rPr>
          <w:lang w:val="fr-FR"/>
        </w:rPr>
        <w:t>.  </w:t>
      </w:r>
      <w:r w:rsidR="00185E4C" w:rsidRPr="00E267AB">
        <w:rPr>
          <w:lang w:val="fr-FR"/>
        </w:rPr>
        <w:t xml:space="preserve">Par </w:t>
      </w:r>
      <w:r w:rsidR="005F214D" w:rsidRPr="00E267AB">
        <w:rPr>
          <w:lang w:val="fr-FR"/>
        </w:rPr>
        <w:t xml:space="preserve">une décision du </w:t>
      </w:r>
      <w:r w:rsidR="007F3EEF" w:rsidRPr="00E267AB">
        <w:rPr>
          <w:lang w:val="fr-FR"/>
        </w:rPr>
        <w:t>25 février</w:t>
      </w:r>
      <w:r w:rsidR="005F214D" w:rsidRPr="00E267AB">
        <w:rPr>
          <w:lang w:val="fr-FR"/>
        </w:rPr>
        <w:t xml:space="preserve"> 2014</w:t>
      </w:r>
      <w:r w:rsidR="0081320F" w:rsidRPr="00E267AB">
        <w:rPr>
          <w:lang w:val="fr-FR"/>
        </w:rPr>
        <w:t>,</w:t>
      </w:r>
      <w:r w:rsidR="005F214D" w:rsidRPr="00E267AB">
        <w:rPr>
          <w:lang w:val="fr-FR"/>
        </w:rPr>
        <w:t xml:space="preserve"> la c</w:t>
      </w:r>
      <w:r w:rsidR="00185E4C" w:rsidRPr="00E267AB">
        <w:rPr>
          <w:lang w:val="fr-FR"/>
        </w:rPr>
        <w:t>our d</w:t>
      </w:r>
      <w:r w:rsidR="00E267AB" w:rsidRPr="00E267AB">
        <w:rPr>
          <w:lang w:val="fr-FR"/>
        </w:rPr>
        <w:t>’</w:t>
      </w:r>
      <w:r w:rsidR="00185E4C" w:rsidRPr="00E267AB">
        <w:rPr>
          <w:lang w:val="fr-FR"/>
        </w:rPr>
        <w:t xml:space="preserve">appel </w:t>
      </w:r>
      <w:r w:rsidR="005F214D" w:rsidRPr="00E267AB">
        <w:rPr>
          <w:lang w:val="fr-FR"/>
        </w:rPr>
        <w:t>confirma</w:t>
      </w:r>
      <w:r w:rsidR="00C25458" w:rsidRPr="00E267AB">
        <w:rPr>
          <w:lang w:val="fr-FR"/>
        </w:rPr>
        <w:t xml:space="preserve"> tout d</w:t>
      </w:r>
      <w:r w:rsidR="00E267AB" w:rsidRPr="00E267AB">
        <w:rPr>
          <w:lang w:val="fr-FR"/>
        </w:rPr>
        <w:t>’</w:t>
      </w:r>
      <w:r w:rsidR="00C25458" w:rsidRPr="00E267AB">
        <w:rPr>
          <w:lang w:val="fr-FR"/>
        </w:rPr>
        <w:t>abord</w:t>
      </w:r>
      <w:r w:rsidR="005F214D" w:rsidRPr="00E267AB">
        <w:rPr>
          <w:lang w:val="fr-FR"/>
        </w:rPr>
        <w:t xml:space="preserve"> sa </w:t>
      </w:r>
      <w:r w:rsidR="0081320F" w:rsidRPr="00E267AB">
        <w:rPr>
          <w:lang w:val="fr-FR"/>
        </w:rPr>
        <w:t>compétence</w:t>
      </w:r>
      <w:r w:rsidR="00CD22C5" w:rsidRPr="00E267AB">
        <w:rPr>
          <w:lang w:val="fr-FR"/>
        </w:rPr>
        <w:t xml:space="preserve">, contestée par N.R., </w:t>
      </w:r>
      <w:r w:rsidR="005F214D" w:rsidRPr="00E267AB">
        <w:rPr>
          <w:lang w:val="fr-FR"/>
        </w:rPr>
        <w:t xml:space="preserve">en raison </w:t>
      </w:r>
      <w:r w:rsidR="00C25458" w:rsidRPr="00E267AB">
        <w:rPr>
          <w:lang w:val="fr-FR"/>
        </w:rPr>
        <w:t xml:space="preserve">entre autres </w:t>
      </w:r>
      <w:r w:rsidR="00590250" w:rsidRPr="00E267AB">
        <w:rPr>
          <w:lang w:val="fr-FR"/>
        </w:rPr>
        <w:t>de la grav</w:t>
      </w:r>
      <w:r w:rsidR="0081320F" w:rsidRPr="00E267AB">
        <w:rPr>
          <w:lang w:val="fr-FR"/>
        </w:rPr>
        <w:t>ité de la</w:t>
      </w:r>
      <w:r w:rsidR="00590250" w:rsidRPr="00E267AB">
        <w:rPr>
          <w:lang w:val="fr-FR"/>
        </w:rPr>
        <w:t xml:space="preserve"> situation de l</w:t>
      </w:r>
      <w:r w:rsidR="00E267AB" w:rsidRPr="00E267AB">
        <w:rPr>
          <w:lang w:val="fr-FR"/>
        </w:rPr>
        <w:t>’</w:t>
      </w:r>
      <w:r w:rsidR="00590250" w:rsidRPr="00E267AB">
        <w:rPr>
          <w:lang w:val="fr-FR"/>
        </w:rPr>
        <w:t>enfant</w:t>
      </w:r>
      <w:r w:rsidR="00C25458" w:rsidRPr="00E267AB">
        <w:rPr>
          <w:lang w:val="fr-FR"/>
        </w:rPr>
        <w:t>,</w:t>
      </w:r>
      <w:r w:rsidR="005F214D" w:rsidRPr="00E267AB">
        <w:rPr>
          <w:lang w:val="fr-FR"/>
        </w:rPr>
        <w:t xml:space="preserve"> qui perdurait depuis longtemps.</w:t>
      </w:r>
    </w:p>
    <w:p w:rsidR="005F214D" w:rsidRPr="00E267AB" w:rsidRDefault="00C25458" w:rsidP="00E267AB">
      <w:pPr>
        <w:pStyle w:val="ECHRPara"/>
        <w:rPr>
          <w:lang w:val="fr-FR"/>
        </w:rPr>
      </w:pPr>
      <w:r w:rsidRPr="00E267AB">
        <w:rPr>
          <w:lang w:val="fr-FR"/>
        </w:rPr>
        <w:t>Elle se pencha ensuite sur ladite situation. Elle rel</w:t>
      </w:r>
      <w:r w:rsidR="00E91B4F" w:rsidRPr="00E267AB">
        <w:rPr>
          <w:lang w:val="fr-FR"/>
        </w:rPr>
        <w:t>eva</w:t>
      </w:r>
      <w:r w:rsidR="00B25F86" w:rsidRPr="00E267AB">
        <w:rPr>
          <w:lang w:val="fr-FR"/>
        </w:rPr>
        <w:t>it</w:t>
      </w:r>
      <w:r w:rsidR="005F214D" w:rsidRPr="00E267AB">
        <w:rPr>
          <w:lang w:val="fr-FR"/>
        </w:rPr>
        <w:t xml:space="preserve"> </w:t>
      </w:r>
      <w:r w:rsidRPr="00E267AB">
        <w:rPr>
          <w:lang w:val="fr-FR"/>
        </w:rPr>
        <w:t xml:space="preserve">ainsi </w:t>
      </w:r>
      <w:r w:rsidR="005F214D" w:rsidRPr="00E267AB">
        <w:rPr>
          <w:lang w:val="fr-FR"/>
        </w:rPr>
        <w:t>que</w:t>
      </w:r>
      <w:r w:rsidR="00590250" w:rsidRPr="00E267AB">
        <w:rPr>
          <w:lang w:val="fr-FR"/>
        </w:rPr>
        <w:t>,</w:t>
      </w:r>
      <w:r w:rsidR="005F214D" w:rsidRPr="00E267AB">
        <w:rPr>
          <w:lang w:val="fr-FR"/>
        </w:rPr>
        <w:t xml:space="preserve"> après les deux rencontres de 2008</w:t>
      </w:r>
      <w:r w:rsidR="00590250" w:rsidRPr="00E267AB">
        <w:rPr>
          <w:lang w:val="fr-FR"/>
        </w:rPr>
        <w:t>,</w:t>
      </w:r>
      <w:r w:rsidR="005F214D" w:rsidRPr="00E267AB">
        <w:rPr>
          <w:lang w:val="fr-FR"/>
        </w:rPr>
        <w:t xml:space="preserve"> la mineure avait commencé </w:t>
      </w:r>
      <w:r w:rsidR="00CD2E85" w:rsidRPr="00E267AB">
        <w:rPr>
          <w:lang w:val="fr-FR"/>
        </w:rPr>
        <w:t>à</w:t>
      </w:r>
      <w:r w:rsidR="005F214D" w:rsidRPr="00E267AB">
        <w:rPr>
          <w:lang w:val="fr-FR"/>
        </w:rPr>
        <w:t xml:space="preserve"> </w:t>
      </w:r>
      <w:r w:rsidR="00590250" w:rsidRPr="00E267AB">
        <w:rPr>
          <w:lang w:val="fr-FR"/>
        </w:rPr>
        <w:t>refuser</w:t>
      </w:r>
      <w:r w:rsidR="005F214D" w:rsidRPr="00E267AB">
        <w:rPr>
          <w:lang w:val="fr-FR"/>
        </w:rPr>
        <w:t xml:space="preserve"> de </w:t>
      </w:r>
      <w:r w:rsidR="00590250" w:rsidRPr="00E267AB">
        <w:rPr>
          <w:lang w:val="fr-FR"/>
        </w:rPr>
        <w:t xml:space="preserve">voir </w:t>
      </w:r>
      <w:r w:rsidR="005F214D" w:rsidRPr="00E267AB">
        <w:rPr>
          <w:lang w:val="fr-FR"/>
        </w:rPr>
        <w:t xml:space="preserve">le requérant et </w:t>
      </w:r>
      <w:r w:rsidR="00CD2E85" w:rsidRPr="00E267AB">
        <w:rPr>
          <w:lang w:val="fr-FR"/>
        </w:rPr>
        <w:t xml:space="preserve">à utiliser un langage </w:t>
      </w:r>
      <w:r w:rsidR="005F214D" w:rsidRPr="00E267AB">
        <w:rPr>
          <w:lang w:val="fr-FR"/>
        </w:rPr>
        <w:t xml:space="preserve">très </w:t>
      </w:r>
      <w:r w:rsidR="00590250" w:rsidRPr="00E267AB">
        <w:rPr>
          <w:lang w:val="fr-FR"/>
        </w:rPr>
        <w:t>agressif</w:t>
      </w:r>
      <w:r w:rsidR="005F214D" w:rsidRPr="00E267AB">
        <w:rPr>
          <w:lang w:val="fr-FR"/>
        </w:rPr>
        <w:t xml:space="preserve"> </w:t>
      </w:r>
      <w:r w:rsidR="00296A58" w:rsidRPr="00E267AB">
        <w:rPr>
          <w:lang w:val="fr-FR"/>
        </w:rPr>
        <w:t>à</w:t>
      </w:r>
      <w:r w:rsidR="005F214D" w:rsidRPr="00E267AB">
        <w:rPr>
          <w:lang w:val="fr-FR"/>
        </w:rPr>
        <w:t xml:space="preserve"> son </w:t>
      </w:r>
      <w:r w:rsidR="00590250" w:rsidRPr="00E267AB">
        <w:rPr>
          <w:lang w:val="fr-FR"/>
        </w:rPr>
        <w:t>égard</w:t>
      </w:r>
      <w:r w:rsidR="005F214D" w:rsidRPr="00E267AB">
        <w:rPr>
          <w:lang w:val="fr-FR"/>
        </w:rPr>
        <w:t xml:space="preserve">. </w:t>
      </w:r>
      <w:r w:rsidR="00E91B4F" w:rsidRPr="00E267AB">
        <w:rPr>
          <w:lang w:val="fr-FR"/>
        </w:rPr>
        <w:t>Elle nota</w:t>
      </w:r>
      <w:r w:rsidR="00B25F86" w:rsidRPr="00E267AB">
        <w:rPr>
          <w:lang w:val="fr-FR"/>
        </w:rPr>
        <w:t>it également</w:t>
      </w:r>
      <w:r w:rsidR="00E91B4F" w:rsidRPr="00E267AB">
        <w:rPr>
          <w:lang w:val="fr-FR"/>
        </w:rPr>
        <w:t xml:space="preserve"> que, d</w:t>
      </w:r>
      <w:r w:rsidR="00E267AB" w:rsidRPr="00E267AB">
        <w:rPr>
          <w:lang w:val="fr-FR"/>
        </w:rPr>
        <w:t>’</w:t>
      </w:r>
      <w:r w:rsidR="00E91B4F" w:rsidRPr="00E267AB">
        <w:rPr>
          <w:lang w:val="fr-FR"/>
        </w:rPr>
        <w:t>après l</w:t>
      </w:r>
      <w:r w:rsidR="00E267AB" w:rsidRPr="00E267AB">
        <w:rPr>
          <w:lang w:val="fr-FR"/>
        </w:rPr>
        <w:t>’</w:t>
      </w:r>
      <w:r w:rsidR="005F214D" w:rsidRPr="00E267AB">
        <w:rPr>
          <w:lang w:val="fr-FR"/>
        </w:rPr>
        <w:t>expert mandaté en 2010</w:t>
      </w:r>
      <w:r w:rsidR="00E91B4F" w:rsidRPr="00E267AB">
        <w:rPr>
          <w:lang w:val="fr-FR"/>
        </w:rPr>
        <w:t xml:space="preserve">, </w:t>
      </w:r>
      <w:r w:rsidR="00590250" w:rsidRPr="00E267AB">
        <w:rPr>
          <w:lang w:val="fr-FR"/>
        </w:rPr>
        <w:t>l</w:t>
      </w:r>
      <w:r w:rsidR="00E267AB" w:rsidRPr="00E267AB">
        <w:rPr>
          <w:lang w:val="fr-FR"/>
        </w:rPr>
        <w:t>’</w:t>
      </w:r>
      <w:r w:rsidR="00590250" w:rsidRPr="00E267AB">
        <w:rPr>
          <w:lang w:val="fr-FR"/>
        </w:rPr>
        <w:t xml:space="preserve">enfant </w:t>
      </w:r>
      <w:r w:rsidR="00E91B4F" w:rsidRPr="00E267AB">
        <w:rPr>
          <w:lang w:val="fr-FR"/>
        </w:rPr>
        <w:t xml:space="preserve">était en situation de </w:t>
      </w:r>
      <w:r w:rsidR="00590250" w:rsidRPr="00E267AB">
        <w:rPr>
          <w:lang w:val="fr-FR"/>
        </w:rPr>
        <w:t>détresse</w:t>
      </w:r>
      <w:r w:rsidR="005F214D" w:rsidRPr="00E267AB">
        <w:rPr>
          <w:lang w:val="fr-FR"/>
        </w:rPr>
        <w:t xml:space="preserve"> </w:t>
      </w:r>
      <w:r w:rsidR="00590250" w:rsidRPr="00E267AB">
        <w:rPr>
          <w:lang w:val="fr-FR"/>
        </w:rPr>
        <w:t>émoti</w:t>
      </w:r>
      <w:r w:rsidR="00E91B4F" w:rsidRPr="00E267AB">
        <w:rPr>
          <w:lang w:val="fr-FR"/>
        </w:rPr>
        <w:t>onnelle</w:t>
      </w:r>
      <w:r w:rsidR="005F214D" w:rsidRPr="00E267AB">
        <w:rPr>
          <w:lang w:val="fr-FR"/>
        </w:rPr>
        <w:t xml:space="preserve">. </w:t>
      </w:r>
      <w:r w:rsidR="003336FA" w:rsidRPr="00E267AB">
        <w:rPr>
          <w:lang w:val="fr-FR"/>
        </w:rPr>
        <w:t>Elle</w:t>
      </w:r>
      <w:r w:rsidR="00E91B4F" w:rsidRPr="00E267AB">
        <w:rPr>
          <w:lang w:val="fr-FR"/>
        </w:rPr>
        <w:t xml:space="preserve"> </w:t>
      </w:r>
      <w:r w:rsidR="005F214D" w:rsidRPr="00E267AB">
        <w:rPr>
          <w:lang w:val="fr-FR"/>
        </w:rPr>
        <w:t>observa</w:t>
      </w:r>
      <w:r w:rsidR="00B25F86" w:rsidRPr="00E267AB">
        <w:rPr>
          <w:lang w:val="fr-FR"/>
        </w:rPr>
        <w:t xml:space="preserve">it aussi </w:t>
      </w:r>
      <w:r w:rsidR="005F214D" w:rsidRPr="00E267AB">
        <w:rPr>
          <w:lang w:val="fr-FR"/>
        </w:rPr>
        <w:t xml:space="preserve">que les </w:t>
      </w:r>
      <w:r w:rsidR="00B1668E" w:rsidRPr="00E267AB">
        <w:rPr>
          <w:lang w:val="fr-FR"/>
        </w:rPr>
        <w:t xml:space="preserve">différents </w:t>
      </w:r>
      <w:r w:rsidR="005F214D" w:rsidRPr="00E267AB">
        <w:rPr>
          <w:lang w:val="fr-FR"/>
        </w:rPr>
        <w:t xml:space="preserve">experts </w:t>
      </w:r>
      <w:r w:rsidR="00B1668E" w:rsidRPr="00E267AB">
        <w:rPr>
          <w:lang w:val="fr-FR"/>
        </w:rPr>
        <w:t xml:space="preserve">nommés par les juridictions </w:t>
      </w:r>
      <w:r w:rsidR="005F214D" w:rsidRPr="00E267AB">
        <w:rPr>
          <w:lang w:val="fr-FR"/>
        </w:rPr>
        <w:t>n</w:t>
      </w:r>
      <w:r w:rsidR="00E267AB" w:rsidRPr="00E267AB">
        <w:rPr>
          <w:lang w:val="fr-FR"/>
        </w:rPr>
        <w:t>’</w:t>
      </w:r>
      <w:r w:rsidR="005F214D" w:rsidRPr="00E267AB">
        <w:rPr>
          <w:lang w:val="fr-FR"/>
        </w:rPr>
        <w:t>avaient pas pu rencontrer l</w:t>
      </w:r>
      <w:r w:rsidR="00E267AB" w:rsidRPr="00E267AB">
        <w:rPr>
          <w:lang w:val="fr-FR"/>
        </w:rPr>
        <w:t>’</w:t>
      </w:r>
      <w:r w:rsidR="005F214D" w:rsidRPr="00E267AB">
        <w:rPr>
          <w:lang w:val="fr-FR"/>
        </w:rPr>
        <w:t>enfant seul</w:t>
      </w:r>
      <w:r w:rsidR="00E91B4F" w:rsidRPr="00E267AB">
        <w:rPr>
          <w:lang w:val="fr-FR"/>
        </w:rPr>
        <w:t>e</w:t>
      </w:r>
      <w:r w:rsidR="00B1668E" w:rsidRPr="00E267AB">
        <w:rPr>
          <w:lang w:val="fr-FR"/>
        </w:rPr>
        <w:t xml:space="preserve"> en raison d</w:t>
      </w:r>
      <w:r w:rsidR="00E267AB" w:rsidRPr="00E267AB">
        <w:rPr>
          <w:lang w:val="fr-FR"/>
        </w:rPr>
        <w:t>’</w:t>
      </w:r>
      <w:r w:rsidR="00B1668E" w:rsidRPr="00E267AB">
        <w:rPr>
          <w:lang w:val="fr-FR"/>
        </w:rPr>
        <w:t xml:space="preserve">une opposition de </w:t>
      </w:r>
      <w:r w:rsidR="005F214D" w:rsidRPr="00E267AB">
        <w:rPr>
          <w:lang w:val="fr-FR"/>
        </w:rPr>
        <w:t>la mère</w:t>
      </w:r>
      <w:r w:rsidR="00B1668E" w:rsidRPr="00E267AB">
        <w:rPr>
          <w:lang w:val="fr-FR"/>
        </w:rPr>
        <w:t xml:space="preserve"> et </w:t>
      </w:r>
      <w:r w:rsidR="00E91B4F" w:rsidRPr="00E267AB">
        <w:rPr>
          <w:lang w:val="fr-FR"/>
        </w:rPr>
        <w:t xml:space="preserve">que </w:t>
      </w:r>
      <w:r w:rsidR="00B1668E" w:rsidRPr="00E267AB">
        <w:rPr>
          <w:lang w:val="fr-FR"/>
        </w:rPr>
        <w:t>cette dernière avait développé un</w:t>
      </w:r>
      <w:r w:rsidR="005F214D" w:rsidRPr="00E267AB">
        <w:rPr>
          <w:lang w:val="fr-FR"/>
        </w:rPr>
        <w:t xml:space="preserve"> lien symbiotique</w:t>
      </w:r>
      <w:r w:rsidR="008F2C05" w:rsidRPr="00E267AB">
        <w:rPr>
          <w:lang w:val="fr-FR"/>
        </w:rPr>
        <w:t xml:space="preserve"> </w:t>
      </w:r>
      <w:r w:rsidR="00B1668E" w:rsidRPr="00E267AB">
        <w:rPr>
          <w:lang w:val="fr-FR"/>
        </w:rPr>
        <w:t>avec l</w:t>
      </w:r>
      <w:r w:rsidR="00E267AB" w:rsidRPr="00E267AB">
        <w:rPr>
          <w:lang w:val="fr-FR"/>
        </w:rPr>
        <w:t>’</w:t>
      </w:r>
      <w:r w:rsidR="00B1668E" w:rsidRPr="00E267AB">
        <w:rPr>
          <w:lang w:val="fr-FR"/>
        </w:rPr>
        <w:t xml:space="preserve">enfant </w:t>
      </w:r>
      <w:r w:rsidR="008F2C05" w:rsidRPr="00E267AB">
        <w:rPr>
          <w:lang w:val="fr-FR"/>
        </w:rPr>
        <w:t>et</w:t>
      </w:r>
      <w:r w:rsidR="00E91B4F" w:rsidRPr="00E267AB">
        <w:rPr>
          <w:lang w:val="fr-FR"/>
        </w:rPr>
        <w:t xml:space="preserve"> avait</w:t>
      </w:r>
      <w:r w:rsidR="005F214D" w:rsidRPr="00E267AB">
        <w:rPr>
          <w:lang w:val="fr-FR"/>
        </w:rPr>
        <w:t xml:space="preserve"> </w:t>
      </w:r>
      <w:r w:rsidR="00590250" w:rsidRPr="00E267AB">
        <w:rPr>
          <w:lang w:val="fr-FR"/>
        </w:rPr>
        <w:t>projeté</w:t>
      </w:r>
      <w:r w:rsidR="005F214D" w:rsidRPr="00E267AB">
        <w:rPr>
          <w:lang w:val="fr-FR"/>
        </w:rPr>
        <w:t xml:space="preserve"> ses peurs et </w:t>
      </w:r>
      <w:r w:rsidR="00E91B4F" w:rsidRPr="00E267AB">
        <w:rPr>
          <w:lang w:val="fr-FR"/>
        </w:rPr>
        <w:t xml:space="preserve">ses </w:t>
      </w:r>
      <w:r w:rsidR="005F214D" w:rsidRPr="00E267AB">
        <w:rPr>
          <w:lang w:val="fr-FR"/>
        </w:rPr>
        <w:t>angoisses</w:t>
      </w:r>
      <w:r w:rsidR="00E91B4F" w:rsidRPr="00E267AB">
        <w:rPr>
          <w:lang w:val="fr-FR"/>
        </w:rPr>
        <w:t xml:space="preserve"> </w:t>
      </w:r>
      <w:r w:rsidR="008024AE" w:rsidRPr="00E267AB">
        <w:rPr>
          <w:lang w:val="fr-FR"/>
        </w:rPr>
        <w:t xml:space="preserve">sur </w:t>
      </w:r>
      <w:r w:rsidR="00B1668E" w:rsidRPr="00E267AB">
        <w:rPr>
          <w:lang w:val="fr-FR"/>
        </w:rPr>
        <w:t>celle-ci</w:t>
      </w:r>
      <w:r w:rsidR="008F2C05" w:rsidRPr="00E267AB">
        <w:rPr>
          <w:lang w:val="fr-FR"/>
        </w:rPr>
        <w:t xml:space="preserve">. Elle </w:t>
      </w:r>
      <w:r w:rsidR="00B25F86" w:rsidRPr="00E267AB">
        <w:rPr>
          <w:lang w:val="fr-FR"/>
        </w:rPr>
        <w:t>relev</w:t>
      </w:r>
      <w:r w:rsidR="008F2C05" w:rsidRPr="00E267AB">
        <w:rPr>
          <w:lang w:val="fr-FR"/>
        </w:rPr>
        <w:t>ait enfin que</w:t>
      </w:r>
      <w:r w:rsidR="00E91B4F" w:rsidRPr="00E267AB">
        <w:rPr>
          <w:lang w:val="fr-FR"/>
        </w:rPr>
        <w:t>, s</w:t>
      </w:r>
      <w:r w:rsidR="00590250" w:rsidRPr="00E267AB">
        <w:rPr>
          <w:lang w:val="fr-FR"/>
        </w:rPr>
        <w:t>elon</w:t>
      </w:r>
      <w:r w:rsidR="005F214D" w:rsidRPr="00E267AB">
        <w:rPr>
          <w:lang w:val="fr-FR"/>
        </w:rPr>
        <w:t xml:space="preserve"> un autre expert, l</w:t>
      </w:r>
      <w:r w:rsidR="00E267AB" w:rsidRPr="00E267AB">
        <w:rPr>
          <w:lang w:val="fr-FR"/>
        </w:rPr>
        <w:t>’</w:t>
      </w:r>
      <w:r w:rsidR="005F214D" w:rsidRPr="00E267AB">
        <w:rPr>
          <w:lang w:val="fr-FR"/>
        </w:rPr>
        <w:t xml:space="preserve">enfant était </w:t>
      </w:r>
      <w:r w:rsidR="00E91B4F" w:rsidRPr="00E267AB">
        <w:rPr>
          <w:lang w:val="fr-FR"/>
        </w:rPr>
        <w:t>entravée</w:t>
      </w:r>
      <w:r w:rsidR="005F214D" w:rsidRPr="00E267AB">
        <w:rPr>
          <w:lang w:val="fr-FR"/>
        </w:rPr>
        <w:t xml:space="preserve"> dans son </w:t>
      </w:r>
      <w:r w:rsidR="00590250" w:rsidRPr="00E267AB">
        <w:rPr>
          <w:lang w:val="fr-FR"/>
        </w:rPr>
        <w:t>développement</w:t>
      </w:r>
      <w:r w:rsidR="005F214D" w:rsidRPr="00E267AB">
        <w:rPr>
          <w:lang w:val="fr-FR"/>
        </w:rPr>
        <w:t xml:space="preserve"> </w:t>
      </w:r>
      <w:r w:rsidR="00590250" w:rsidRPr="00E267AB">
        <w:rPr>
          <w:lang w:val="fr-FR"/>
        </w:rPr>
        <w:t>psychique</w:t>
      </w:r>
      <w:r w:rsidR="005F214D" w:rsidRPr="00E267AB">
        <w:rPr>
          <w:lang w:val="fr-FR"/>
        </w:rPr>
        <w:t>.</w:t>
      </w:r>
    </w:p>
    <w:p w:rsidR="00007D99" w:rsidRPr="00E267AB" w:rsidRDefault="00BA6D83"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57</w:t>
      </w:r>
      <w:r w:rsidRPr="00E267AB">
        <w:rPr>
          <w:lang w:val="fr-FR"/>
        </w:rPr>
        <w:fldChar w:fldCharType="end"/>
      </w:r>
      <w:r w:rsidRPr="00E267AB">
        <w:rPr>
          <w:lang w:val="fr-FR"/>
        </w:rPr>
        <w:t>.  </w:t>
      </w:r>
      <w:r w:rsidR="005F214D" w:rsidRPr="00E267AB">
        <w:rPr>
          <w:lang w:val="fr-FR"/>
        </w:rPr>
        <w:t xml:space="preserve">La cour </w:t>
      </w:r>
      <w:r w:rsidR="008F2C05" w:rsidRPr="00E267AB">
        <w:rPr>
          <w:lang w:val="fr-FR"/>
        </w:rPr>
        <w:t>d</w:t>
      </w:r>
      <w:r w:rsidR="00E267AB" w:rsidRPr="00E267AB">
        <w:rPr>
          <w:lang w:val="fr-FR"/>
        </w:rPr>
        <w:t>’</w:t>
      </w:r>
      <w:r w:rsidR="008F2C05" w:rsidRPr="00E267AB">
        <w:rPr>
          <w:lang w:val="fr-FR"/>
        </w:rPr>
        <w:t xml:space="preserve">appel </w:t>
      </w:r>
      <w:r w:rsidR="005F214D" w:rsidRPr="00E267AB">
        <w:rPr>
          <w:lang w:val="fr-FR"/>
        </w:rPr>
        <w:t xml:space="preserve">ordonna </w:t>
      </w:r>
      <w:r w:rsidR="008F2C05" w:rsidRPr="00E267AB">
        <w:rPr>
          <w:lang w:val="fr-FR"/>
        </w:rPr>
        <w:t>par conséquent</w:t>
      </w:r>
      <w:r w:rsidR="005F214D" w:rsidRPr="00E267AB">
        <w:rPr>
          <w:lang w:val="fr-FR"/>
        </w:rPr>
        <w:t xml:space="preserve"> aux services </w:t>
      </w:r>
      <w:r w:rsidR="00590250" w:rsidRPr="00E267AB">
        <w:rPr>
          <w:lang w:val="fr-FR"/>
        </w:rPr>
        <w:t>sociaux</w:t>
      </w:r>
      <w:r w:rsidR="005F214D" w:rsidRPr="00E267AB">
        <w:rPr>
          <w:lang w:val="fr-FR"/>
        </w:rPr>
        <w:t xml:space="preserve"> de prendre des mesures dans l</w:t>
      </w:r>
      <w:r w:rsidR="00E267AB" w:rsidRPr="00E267AB">
        <w:rPr>
          <w:lang w:val="fr-FR"/>
        </w:rPr>
        <w:t>’</w:t>
      </w:r>
      <w:r w:rsidR="00174F27" w:rsidRPr="00E267AB">
        <w:rPr>
          <w:lang w:val="fr-FR"/>
        </w:rPr>
        <w:t>intérêt</w:t>
      </w:r>
      <w:r w:rsidR="005F214D" w:rsidRPr="00E267AB">
        <w:rPr>
          <w:lang w:val="fr-FR"/>
        </w:rPr>
        <w:t xml:space="preserve"> </w:t>
      </w:r>
      <w:r w:rsidR="00174F27" w:rsidRPr="00E267AB">
        <w:rPr>
          <w:lang w:val="fr-FR"/>
        </w:rPr>
        <w:t>d</w:t>
      </w:r>
      <w:r w:rsidR="005F214D" w:rsidRPr="00E267AB">
        <w:rPr>
          <w:lang w:val="fr-FR"/>
        </w:rPr>
        <w:t>e l</w:t>
      </w:r>
      <w:r w:rsidR="00E267AB" w:rsidRPr="00E267AB">
        <w:rPr>
          <w:lang w:val="fr-FR"/>
        </w:rPr>
        <w:t>’</w:t>
      </w:r>
      <w:r w:rsidR="00174F27" w:rsidRPr="00E267AB">
        <w:rPr>
          <w:lang w:val="fr-FR"/>
        </w:rPr>
        <w:t>enfant</w:t>
      </w:r>
      <w:r w:rsidR="005F214D" w:rsidRPr="00E267AB">
        <w:rPr>
          <w:lang w:val="fr-FR"/>
        </w:rPr>
        <w:t xml:space="preserve">, y compris </w:t>
      </w:r>
      <w:r w:rsidR="00174F27" w:rsidRPr="00E267AB">
        <w:rPr>
          <w:lang w:val="fr-FR"/>
        </w:rPr>
        <w:t xml:space="preserve">de </w:t>
      </w:r>
      <w:r w:rsidR="008F2C05" w:rsidRPr="00E267AB">
        <w:rPr>
          <w:lang w:val="fr-FR"/>
        </w:rPr>
        <w:t>procéder à l</w:t>
      </w:r>
      <w:r w:rsidR="00E267AB" w:rsidRPr="00E267AB">
        <w:rPr>
          <w:lang w:val="fr-FR"/>
        </w:rPr>
        <w:t>’</w:t>
      </w:r>
      <w:r w:rsidR="008F2C05" w:rsidRPr="00E267AB">
        <w:rPr>
          <w:lang w:val="fr-FR"/>
        </w:rPr>
        <w:t xml:space="preserve">éloignement de </w:t>
      </w:r>
      <w:r w:rsidR="0097032A" w:rsidRPr="00E267AB">
        <w:rPr>
          <w:lang w:val="fr-FR"/>
        </w:rPr>
        <w:t>la mineure</w:t>
      </w:r>
      <w:r w:rsidR="008F2C05" w:rsidRPr="00E267AB">
        <w:rPr>
          <w:lang w:val="fr-FR"/>
        </w:rPr>
        <w:t xml:space="preserve"> </w:t>
      </w:r>
      <w:r w:rsidR="00174F27" w:rsidRPr="00E267AB">
        <w:rPr>
          <w:lang w:val="fr-FR"/>
        </w:rPr>
        <w:t>du domicile de la mère</w:t>
      </w:r>
      <w:r w:rsidR="005F214D" w:rsidRPr="00E267AB">
        <w:rPr>
          <w:lang w:val="fr-FR"/>
        </w:rPr>
        <w:t xml:space="preserve"> si </w:t>
      </w:r>
      <w:r w:rsidR="00174F27" w:rsidRPr="00E267AB">
        <w:rPr>
          <w:lang w:val="fr-FR"/>
        </w:rPr>
        <w:t>nécessaire</w:t>
      </w:r>
      <w:r w:rsidR="005F214D" w:rsidRPr="00E267AB">
        <w:rPr>
          <w:lang w:val="fr-FR"/>
        </w:rPr>
        <w:t xml:space="preserve">. Elle </w:t>
      </w:r>
      <w:r w:rsidR="00174F27" w:rsidRPr="00E267AB">
        <w:rPr>
          <w:lang w:val="fr-FR"/>
        </w:rPr>
        <w:t>décida</w:t>
      </w:r>
      <w:r w:rsidR="005F214D" w:rsidRPr="00E267AB">
        <w:rPr>
          <w:lang w:val="fr-FR"/>
        </w:rPr>
        <w:t xml:space="preserve"> </w:t>
      </w:r>
      <w:r w:rsidR="008F2C05" w:rsidRPr="00E267AB">
        <w:rPr>
          <w:lang w:val="fr-FR"/>
        </w:rPr>
        <w:t xml:space="preserve">aussi </w:t>
      </w:r>
      <w:r w:rsidR="005F214D" w:rsidRPr="00E267AB">
        <w:rPr>
          <w:lang w:val="fr-FR"/>
        </w:rPr>
        <w:t>de suspendre l</w:t>
      </w:r>
      <w:r w:rsidR="00E267AB" w:rsidRPr="00E267AB">
        <w:rPr>
          <w:lang w:val="fr-FR"/>
        </w:rPr>
        <w:t>’</w:t>
      </w:r>
      <w:r w:rsidR="005F214D" w:rsidRPr="00E267AB">
        <w:rPr>
          <w:lang w:val="fr-FR"/>
        </w:rPr>
        <w:t>autorité parentale de la mère</w:t>
      </w:r>
      <w:r w:rsidR="008F2C05" w:rsidRPr="00E267AB">
        <w:rPr>
          <w:lang w:val="fr-FR"/>
        </w:rPr>
        <w:t>, jugeant que ce</w:t>
      </w:r>
      <w:r w:rsidR="0097032A" w:rsidRPr="00E267AB">
        <w:rPr>
          <w:lang w:val="fr-FR"/>
        </w:rPr>
        <w:t>tte dernière</w:t>
      </w:r>
      <w:r w:rsidR="007F3EEF" w:rsidRPr="00E267AB">
        <w:rPr>
          <w:lang w:val="fr-FR"/>
        </w:rPr>
        <w:t xml:space="preserve"> n</w:t>
      </w:r>
      <w:r w:rsidR="00E267AB" w:rsidRPr="00E267AB">
        <w:rPr>
          <w:lang w:val="fr-FR"/>
        </w:rPr>
        <w:t>’</w:t>
      </w:r>
      <w:r w:rsidR="007F3EEF" w:rsidRPr="00E267AB">
        <w:rPr>
          <w:lang w:val="fr-FR"/>
        </w:rPr>
        <w:t>était pas capable d</w:t>
      </w:r>
      <w:r w:rsidR="00E267AB" w:rsidRPr="00E267AB">
        <w:rPr>
          <w:lang w:val="fr-FR"/>
        </w:rPr>
        <w:t>’</w:t>
      </w:r>
      <w:r w:rsidR="007F3EEF" w:rsidRPr="00E267AB">
        <w:rPr>
          <w:lang w:val="fr-FR"/>
        </w:rPr>
        <w:t xml:space="preserve">assurer </w:t>
      </w:r>
      <w:r w:rsidR="008F2C05" w:rsidRPr="00E267AB">
        <w:rPr>
          <w:lang w:val="fr-FR"/>
        </w:rPr>
        <w:t>à s</w:t>
      </w:r>
      <w:r w:rsidR="0097032A" w:rsidRPr="00E267AB">
        <w:rPr>
          <w:lang w:val="fr-FR"/>
        </w:rPr>
        <w:t>a fille</w:t>
      </w:r>
      <w:r w:rsidR="008F2C05" w:rsidRPr="00E267AB">
        <w:rPr>
          <w:lang w:val="fr-FR"/>
        </w:rPr>
        <w:t xml:space="preserve"> </w:t>
      </w:r>
      <w:r w:rsidR="007F3EEF" w:rsidRPr="00E267AB">
        <w:rPr>
          <w:lang w:val="fr-FR"/>
        </w:rPr>
        <w:t xml:space="preserve">un </w:t>
      </w:r>
      <w:r w:rsidR="00174F27" w:rsidRPr="00E267AB">
        <w:rPr>
          <w:lang w:val="fr-FR"/>
        </w:rPr>
        <w:t>développement</w:t>
      </w:r>
      <w:r w:rsidR="007F3EEF" w:rsidRPr="00E267AB">
        <w:rPr>
          <w:lang w:val="fr-FR"/>
        </w:rPr>
        <w:t xml:space="preserve"> </w:t>
      </w:r>
      <w:r w:rsidR="00CD2E85" w:rsidRPr="00E267AB">
        <w:rPr>
          <w:lang w:val="fr-FR"/>
        </w:rPr>
        <w:t>psychique</w:t>
      </w:r>
      <w:r w:rsidR="00CC77A5" w:rsidRPr="00E267AB">
        <w:rPr>
          <w:lang w:val="fr-FR"/>
        </w:rPr>
        <w:t xml:space="preserve"> </w:t>
      </w:r>
      <w:r w:rsidR="008F2C05" w:rsidRPr="00E267AB">
        <w:rPr>
          <w:lang w:val="fr-FR"/>
        </w:rPr>
        <w:t>adéquat</w:t>
      </w:r>
      <w:r w:rsidR="007F3EEF" w:rsidRPr="00E267AB">
        <w:rPr>
          <w:lang w:val="fr-FR"/>
        </w:rPr>
        <w:t xml:space="preserve"> en raison de la </w:t>
      </w:r>
      <w:r w:rsidR="00174F27" w:rsidRPr="00E267AB">
        <w:rPr>
          <w:lang w:val="fr-FR"/>
        </w:rPr>
        <w:t>manipulation</w:t>
      </w:r>
      <w:r w:rsidR="007F3EEF" w:rsidRPr="00E267AB">
        <w:rPr>
          <w:lang w:val="fr-FR"/>
        </w:rPr>
        <w:t xml:space="preserve"> </w:t>
      </w:r>
      <w:r w:rsidR="0097032A" w:rsidRPr="00E267AB">
        <w:rPr>
          <w:lang w:val="fr-FR"/>
        </w:rPr>
        <w:t>qu</w:t>
      </w:r>
      <w:r w:rsidR="00E267AB" w:rsidRPr="00E267AB">
        <w:rPr>
          <w:lang w:val="fr-FR"/>
        </w:rPr>
        <w:t>’</w:t>
      </w:r>
      <w:r w:rsidR="0097032A" w:rsidRPr="00E267AB">
        <w:rPr>
          <w:lang w:val="fr-FR"/>
        </w:rPr>
        <w:t>elle exerçait sur celle-ci</w:t>
      </w:r>
      <w:r w:rsidR="007F3EEF" w:rsidRPr="00E267AB">
        <w:rPr>
          <w:lang w:val="fr-FR"/>
        </w:rPr>
        <w:t xml:space="preserve"> et de la </w:t>
      </w:r>
      <w:r w:rsidR="00CD2E85" w:rsidRPr="00E267AB">
        <w:rPr>
          <w:lang w:val="fr-FR"/>
        </w:rPr>
        <w:t xml:space="preserve">dénégation </w:t>
      </w:r>
      <w:r w:rsidR="007F3EEF" w:rsidRPr="00E267AB">
        <w:rPr>
          <w:lang w:val="fr-FR"/>
        </w:rPr>
        <w:t xml:space="preserve">constante </w:t>
      </w:r>
      <w:r w:rsidR="00CD2E85" w:rsidRPr="00E267AB">
        <w:rPr>
          <w:lang w:val="fr-FR"/>
        </w:rPr>
        <w:t>de la figure paternelle</w:t>
      </w:r>
      <w:r w:rsidR="008D36CA" w:rsidRPr="00E267AB">
        <w:rPr>
          <w:lang w:val="fr-FR"/>
        </w:rPr>
        <w:t xml:space="preserve"> </w:t>
      </w:r>
      <w:r w:rsidR="0097032A" w:rsidRPr="00E267AB">
        <w:rPr>
          <w:lang w:val="fr-FR"/>
        </w:rPr>
        <w:t>à laquelle</w:t>
      </w:r>
      <w:r w:rsidR="008D36CA" w:rsidRPr="00E267AB">
        <w:rPr>
          <w:lang w:val="fr-FR"/>
        </w:rPr>
        <w:t xml:space="preserve"> elle se livrait</w:t>
      </w:r>
      <w:r w:rsidR="007F3EEF" w:rsidRPr="00E267AB">
        <w:rPr>
          <w:lang w:val="fr-FR"/>
        </w:rPr>
        <w:t xml:space="preserve">. Selon la </w:t>
      </w:r>
      <w:r w:rsidR="008F2C05" w:rsidRPr="00E267AB">
        <w:rPr>
          <w:lang w:val="fr-FR"/>
        </w:rPr>
        <w:t>c</w:t>
      </w:r>
      <w:r w:rsidR="007F3EEF" w:rsidRPr="00E267AB">
        <w:rPr>
          <w:lang w:val="fr-FR"/>
        </w:rPr>
        <w:t xml:space="preserve">our </w:t>
      </w:r>
      <w:r w:rsidR="008F2C05" w:rsidRPr="00E267AB">
        <w:rPr>
          <w:lang w:val="fr-FR"/>
        </w:rPr>
        <w:t>d</w:t>
      </w:r>
      <w:r w:rsidR="00E267AB" w:rsidRPr="00E267AB">
        <w:rPr>
          <w:lang w:val="fr-FR"/>
        </w:rPr>
        <w:t>’</w:t>
      </w:r>
      <w:r w:rsidR="008F2C05" w:rsidRPr="00E267AB">
        <w:rPr>
          <w:lang w:val="fr-FR"/>
        </w:rPr>
        <w:t xml:space="preserve">appel, </w:t>
      </w:r>
      <w:r w:rsidR="007F3EEF" w:rsidRPr="00E267AB">
        <w:rPr>
          <w:lang w:val="fr-FR"/>
        </w:rPr>
        <w:t xml:space="preserve">la </w:t>
      </w:r>
      <w:r w:rsidR="00174F27" w:rsidRPr="00E267AB">
        <w:rPr>
          <w:lang w:val="fr-FR"/>
        </w:rPr>
        <w:t>suspension d</w:t>
      </w:r>
      <w:r w:rsidR="007F3EEF" w:rsidRPr="00E267AB">
        <w:rPr>
          <w:lang w:val="fr-FR"/>
        </w:rPr>
        <w:t>e</w:t>
      </w:r>
      <w:r w:rsidR="00174F27" w:rsidRPr="00E267AB">
        <w:rPr>
          <w:lang w:val="fr-FR"/>
        </w:rPr>
        <w:t xml:space="preserve"> </w:t>
      </w:r>
      <w:r w:rsidR="007F3EEF" w:rsidRPr="00E267AB">
        <w:rPr>
          <w:lang w:val="fr-FR"/>
        </w:rPr>
        <w:t>l</w:t>
      </w:r>
      <w:r w:rsidR="00E267AB" w:rsidRPr="00E267AB">
        <w:rPr>
          <w:lang w:val="fr-FR"/>
        </w:rPr>
        <w:t>’</w:t>
      </w:r>
      <w:r w:rsidR="007F3EEF" w:rsidRPr="00E267AB">
        <w:rPr>
          <w:lang w:val="fr-FR"/>
        </w:rPr>
        <w:t>autorité parentale de la mère était une mesure suffisant</w:t>
      </w:r>
      <w:r w:rsidR="008F2C05" w:rsidRPr="00E267AB">
        <w:rPr>
          <w:lang w:val="fr-FR"/>
        </w:rPr>
        <w:t>e</w:t>
      </w:r>
      <w:r w:rsidR="007F3EEF" w:rsidRPr="00E267AB">
        <w:rPr>
          <w:lang w:val="fr-FR"/>
        </w:rPr>
        <w:t xml:space="preserve"> pour </w:t>
      </w:r>
      <w:r w:rsidR="008F2C05" w:rsidRPr="00E267AB">
        <w:rPr>
          <w:lang w:val="fr-FR"/>
        </w:rPr>
        <w:t>permettre aux</w:t>
      </w:r>
      <w:r w:rsidR="007F3EEF" w:rsidRPr="00E267AB">
        <w:rPr>
          <w:lang w:val="fr-FR"/>
        </w:rPr>
        <w:t xml:space="preserve"> services </w:t>
      </w:r>
      <w:r w:rsidR="00174F27" w:rsidRPr="00E267AB">
        <w:rPr>
          <w:lang w:val="fr-FR"/>
        </w:rPr>
        <w:t>sociaux</w:t>
      </w:r>
      <w:r w:rsidR="007F3EEF" w:rsidRPr="00E267AB">
        <w:rPr>
          <w:lang w:val="fr-FR"/>
        </w:rPr>
        <w:t xml:space="preserve"> </w:t>
      </w:r>
      <w:r w:rsidR="008F2C05" w:rsidRPr="00E267AB">
        <w:rPr>
          <w:lang w:val="fr-FR"/>
        </w:rPr>
        <w:t>de prendre</w:t>
      </w:r>
      <w:r w:rsidR="007F3EEF" w:rsidRPr="00E267AB">
        <w:rPr>
          <w:lang w:val="fr-FR"/>
        </w:rPr>
        <w:t xml:space="preserve"> </w:t>
      </w:r>
      <w:r w:rsidR="00CC77A5" w:rsidRPr="00E267AB">
        <w:rPr>
          <w:lang w:val="fr-FR"/>
        </w:rPr>
        <w:t>soin</w:t>
      </w:r>
      <w:r w:rsidR="007F3EEF" w:rsidRPr="00E267AB">
        <w:rPr>
          <w:lang w:val="fr-FR"/>
        </w:rPr>
        <w:t xml:space="preserve"> </w:t>
      </w:r>
      <w:r w:rsidR="00CD2E85" w:rsidRPr="00E267AB">
        <w:rPr>
          <w:lang w:val="fr-FR"/>
        </w:rPr>
        <w:t>d</w:t>
      </w:r>
      <w:r w:rsidR="007F3EEF" w:rsidRPr="00E267AB">
        <w:rPr>
          <w:lang w:val="fr-FR"/>
        </w:rPr>
        <w:t>e l</w:t>
      </w:r>
      <w:r w:rsidR="00E267AB" w:rsidRPr="00E267AB">
        <w:rPr>
          <w:lang w:val="fr-FR"/>
        </w:rPr>
        <w:t>’</w:t>
      </w:r>
      <w:r w:rsidR="007F3EEF" w:rsidRPr="00E267AB">
        <w:rPr>
          <w:lang w:val="fr-FR"/>
        </w:rPr>
        <w:t xml:space="preserve">enfant. </w:t>
      </w:r>
      <w:r w:rsidR="008F2C05" w:rsidRPr="00E267AB">
        <w:rPr>
          <w:lang w:val="fr-FR"/>
        </w:rPr>
        <w:t>En sus de la suspension de l</w:t>
      </w:r>
      <w:r w:rsidR="00E267AB" w:rsidRPr="00E267AB">
        <w:rPr>
          <w:lang w:val="fr-FR"/>
        </w:rPr>
        <w:t>’</w:t>
      </w:r>
      <w:r w:rsidR="008F2C05" w:rsidRPr="00E267AB">
        <w:rPr>
          <w:lang w:val="fr-FR"/>
        </w:rPr>
        <w:t>autorité parentale de la mère, la cour d</w:t>
      </w:r>
      <w:r w:rsidR="00E267AB" w:rsidRPr="00E267AB">
        <w:rPr>
          <w:lang w:val="fr-FR"/>
        </w:rPr>
        <w:t>’</w:t>
      </w:r>
      <w:r w:rsidR="008F2C05" w:rsidRPr="00E267AB">
        <w:rPr>
          <w:lang w:val="fr-FR"/>
        </w:rPr>
        <w:t>appel décida l</w:t>
      </w:r>
      <w:r w:rsidR="00E267AB" w:rsidRPr="00E267AB">
        <w:rPr>
          <w:lang w:val="fr-FR"/>
        </w:rPr>
        <w:t>’</w:t>
      </w:r>
      <w:r w:rsidR="008F2C05" w:rsidRPr="00E267AB">
        <w:rPr>
          <w:lang w:val="fr-FR"/>
        </w:rPr>
        <w:t>organisation de rencontres</w:t>
      </w:r>
      <w:r w:rsidR="00185E4C" w:rsidRPr="00E267AB">
        <w:rPr>
          <w:lang w:val="fr-FR"/>
        </w:rPr>
        <w:t xml:space="preserve"> entre le requérant et sa fille.</w:t>
      </w:r>
    </w:p>
    <w:p w:rsidR="00B21E1F" w:rsidRPr="00E267AB" w:rsidRDefault="00CD2E85"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58</w:t>
      </w:r>
      <w:r w:rsidRPr="00E267AB">
        <w:rPr>
          <w:lang w:val="fr-FR"/>
        </w:rPr>
        <w:fldChar w:fldCharType="end"/>
      </w:r>
      <w:r w:rsidRPr="00E267AB">
        <w:rPr>
          <w:lang w:val="fr-FR"/>
        </w:rPr>
        <w:t>.  N.R. se pourvut en cassation</w:t>
      </w:r>
      <w:r w:rsidR="00DC6251" w:rsidRPr="00E267AB">
        <w:rPr>
          <w:lang w:val="fr-FR"/>
        </w:rPr>
        <w:t xml:space="preserve"> contre la décision de la cour d</w:t>
      </w:r>
      <w:r w:rsidR="00E267AB" w:rsidRPr="00E267AB">
        <w:rPr>
          <w:lang w:val="fr-FR"/>
        </w:rPr>
        <w:t>’</w:t>
      </w:r>
      <w:r w:rsidR="00DC6251" w:rsidRPr="00E267AB">
        <w:rPr>
          <w:lang w:val="fr-FR"/>
        </w:rPr>
        <w:t>appel</w:t>
      </w:r>
      <w:r w:rsidRPr="00E267AB">
        <w:rPr>
          <w:lang w:val="fr-FR"/>
        </w:rPr>
        <w:t>.</w:t>
      </w:r>
    </w:p>
    <w:p w:rsidR="00007D99" w:rsidRPr="00E267AB" w:rsidRDefault="00007D99"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59</w:t>
      </w:r>
      <w:r w:rsidRPr="00E267AB">
        <w:rPr>
          <w:lang w:val="fr-FR"/>
        </w:rPr>
        <w:fldChar w:fldCharType="end"/>
      </w:r>
      <w:r w:rsidRPr="00E267AB">
        <w:rPr>
          <w:lang w:val="fr-FR"/>
        </w:rPr>
        <w:t>.  </w:t>
      </w:r>
      <w:r w:rsidR="00DC6251" w:rsidRPr="00E267AB">
        <w:rPr>
          <w:lang w:val="fr-FR"/>
        </w:rPr>
        <w:t>De son côté, le</w:t>
      </w:r>
      <w:r w:rsidRPr="00E267AB">
        <w:rPr>
          <w:lang w:val="fr-FR"/>
        </w:rPr>
        <w:t xml:space="preserve"> requérant dépos</w:t>
      </w:r>
      <w:r w:rsidR="00DC6251" w:rsidRPr="00E267AB">
        <w:rPr>
          <w:lang w:val="fr-FR"/>
        </w:rPr>
        <w:t>a</w:t>
      </w:r>
      <w:r w:rsidRPr="00E267AB">
        <w:rPr>
          <w:lang w:val="fr-FR"/>
        </w:rPr>
        <w:t xml:space="preserve"> un nouveau recours devant le tribunal pour enfant</w:t>
      </w:r>
      <w:r w:rsidR="00C26BC9" w:rsidRPr="00E267AB">
        <w:rPr>
          <w:lang w:val="fr-FR"/>
        </w:rPr>
        <w:t>s</w:t>
      </w:r>
      <w:r w:rsidRPr="00E267AB">
        <w:rPr>
          <w:lang w:val="fr-FR"/>
        </w:rPr>
        <w:t xml:space="preserve"> afin de demander </w:t>
      </w:r>
      <w:r w:rsidR="00D466F7" w:rsidRPr="00E267AB">
        <w:rPr>
          <w:lang w:val="fr-FR"/>
        </w:rPr>
        <w:t>la déchéance de l</w:t>
      </w:r>
      <w:r w:rsidR="00E267AB" w:rsidRPr="00E267AB">
        <w:rPr>
          <w:lang w:val="fr-FR"/>
        </w:rPr>
        <w:t>’</w:t>
      </w:r>
      <w:r w:rsidRPr="00E267AB">
        <w:rPr>
          <w:lang w:val="fr-FR"/>
        </w:rPr>
        <w:t>autorité parentale</w:t>
      </w:r>
      <w:r w:rsidR="00D466F7" w:rsidRPr="00E267AB">
        <w:rPr>
          <w:lang w:val="fr-FR"/>
        </w:rPr>
        <w:t xml:space="preserve"> de N.R</w:t>
      </w:r>
      <w:r w:rsidRPr="00E267AB">
        <w:rPr>
          <w:lang w:val="fr-FR"/>
        </w:rPr>
        <w:t>.</w:t>
      </w:r>
    </w:p>
    <w:p w:rsidR="00007D99" w:rsidRPr="00E267AB" w:rsidRDefault="00007D99"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60</w:t>
      </w:r>
      <w:r w:rsidRPr="00E267AB">
        <w:rPr>
          <w:lang w:val="fr-FR"/>
        </w:rPr>
        <w:fldChar w:fldCharType="end"/>
      </w:r>
      <w:r w:rsidRPr="00E267AB">
        <w:rPr>
          <w:lang w:val="fr-FR"/>
        </w:rPr>
        <w:t xml:space="preserve">.  Le </w:t>
      </w:r>
      <w:r w:rsidR="0049278C" w:rsidRPr="00E267AB">
        <w:rPr>
          <w:lang w:val="fr-FR"/>
        </w:rPr>
        <w:t xml:space="preserve">tribunal pour enfants entendit le </w:t>
      </w:r>
      <w:r w:rsidRPr="00E267AB">
        <w:rPr>
          <w:lang w:val="fr-FR"/>
        </w:rPr>
        <w:t>requérant et N.R</w:t>
      </w:r>
      <w:r w:rsidR="0049278C" w:rsidRPr="00E267AB">
        <w:rPr>
          <w:lang w:val="fr-FR"/>
        </w:rPr>
        <w:t>.</w:t>
      </w:r>
      <w:r w:rsidR="00B71E56" w:rsidRPr="00E267AB">
        <w:rPr>
          <w:lang w:val="fr-FR"/>
        </w:rPr>
        <w:t xml:space="preserve"> </w:t>
      </w:r>
      <w:r w:rsidR="00205B91" w:rsidRPr="00E267AB">
        <w:rPr>
          <w:lang w:val="fr-FR"/>
        </w:rPr>
        <w:t>lors de l</w:t>
      </w:r>
      <w:r w:rsidR="00E267AB" w:rsidRPr="00E267AB">
        <w:rPr>
          <w:lang w:val="fr-FR"/>
        </w:rPr>
        <w:t>’</w:t>
      </w:r>
      <w:r w:rsidR="00205B91" w:rsidRPr="00E267AB">
        <w:rPr>
          <w:lang w:val="fr-FR"/>
        </w:rPr>
        <w:t>audience</w:t>
      </w:r>
      <w:r w:rsidRPr="00E267AB">
        <w:rPr>
          <w:lang w:val="fr-FR"/>
        </w:rPr>
        <w:t xml:space="preserve"> du 10 juin 2014.</w:t>
      </w:r>
    </w:p>
    <w:p w:rsidR="00185E4C" w:rsidRPr="00E267AB" w:rsidRDefault="00325DE1"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61</w:t>
      </w:r>
      <w:r w:rsidRPr="00E267AB">
        <w:rPr>
          <w:lang w:val="fr-FR"/>
        </w:rPr>
        <w:fldChar w:fldCharType="end"/>
      </w:r>
      <w:r w:rsidRPr="00E267AB">
        <w:rPr>
          <w:lang w:val="fr-FR"/>
        </w:rPr>
        <w:t>.  </w:t>
      </w:r>
      <w:r w:rsidR="0049278C" w:rsidRPr="00E267AB">
        <w:rPr>
          <w:lang w:val="fr-FR"/>
        </w:rPr>
        <w:t>Il entendit l</w:t>
      </w:r>
      <w:r w:rsidR="00E267AB" w:rsidRPr="00E267AB">
        <w:rPr>
          <w:lang w:val="fr-FR"/>
        </w:rPr>
        <w:t>’</w:t>
      </w:r>
      <w:r w:rsidR="0049278C" w:rsidRPr="00E267AB">
        <w:rPr>
          <w:lang w:val="fr-FR"/>
        </w:rPr>
        <w:t>enfant l</w:t>
      </w:r>
      <w:r w:rsidR="007F3EEF" w:rsidRPr="00E267AB">
        <w:rPr>
          <w:lang w:val="fr-FR"/>
        </w:rPr>
        <w:t xml:space="preserve">e 24 octobre 2014. </w:t>
      </w:r>
      <w:r w:rsidR="0049278C" w:rsidRPr="00E267AB">
        <w:rPr>
          <w:lang w:val="fr-FR"/>
        </w:rPr>
        <w:t>Celle-ci déclara</w:t>
      </w:r>
      <w:r w:rsidR="007F3EEF" w:rsidRPr="00E267AB">
        <w:rPr>
          <w:lang w:val="fr-FR"/>
        </w:rPr>
        <w:t xml:space="preserve"> qu</w:t>
      </w:r>
      <w:r w:rsidR="00E267AB" w:rsidRPr="00E267AB">
        <w:rPr>
          <w:lang w:val="fr-FR"/>
        </w:rPr>
        <w:t>’</w:t>
      </w:r>
      <w:r w:rsidR="007F3EEF" w:rsidRPr="00E267AB">
        <w:rPr>
          <w:lang w:val="fr-FR"/>
        </w:rPr>
        <w:t xml:space="preserve">elle ne voulait pas parler avec son père et </w:t>
      </w:r>
      <w:r w:rsidR="00007D99" w:rsidRPr="00E267AB">
        <w:rPr>
          <w:lang w:val="fr-FR"/>
        </w:rPr>
        <w:t>qu</w:t>
      </w:r>
      <w:r w:rsidR="00E267AB" w:rsidRPr="00E267AB">
        <w:rPr>
          <w:lang w:val="fr-FR"/>
        </w:rPr>
        <w:t>’</w:t>
      </w:r>
      <w:r w:rsidR="00007D99" w:rsidRPr="00E267AB">
        <w:rPr>
          <w:lang w:val="fr-FR"/>
        </w:rPr>
        <w:t>elle</w:t>
      </w:r>
      <w:r w:rsidR="007F3EEF" w:rsidRPr="00E267AB">
        <w:rPr>
          <w:lang w:val="fr-FR"/>
        </w:rPr>
        <w:t xml:space="preserve"> se </w:t>
      </w:r>
      <w:r w:rsidR="00A8464C" w:rsidRPr="00E267AB">
        <w:rPr>
          <w:lang w:val="fr-FR"/>
        </w:rPr>
        <w:t>souven</w:t>
      </w:r>
      <w:r w:rsidR="00ED0AB9" w:rsidRPr="00E267AB">
        <w:rPr>
          <w:lang w:val="fr-FR"/>
        </w:rPr>
        <w:t>ait</w:t>
      </w:r>
      <w:r w:rsidR="007F3EEF" w:rsidRPr="00E267AB">
        <w:rPr>
          <w:lang w:val="fr-FR"/>
        </w:rPr>
        <w:t xml:space="preserve"> d</w:t>
      </w:r>
      <w:r w:rsidR="00E267AB" w:rsidRPr="00E267AB">
        <w:rPr>
          <w:lang w:val="fr-FR"/>
        </w:rPr>
        <w:t>’</w:t>
      </w:r>
      <w:r w:rsidR="0049278C" w:rsidRPr="00E267AB">
        <w:rPr>
          <w:lang w:val="fr-FR"/>
        </w:rPr>
        <w:t>épisodes</w:t>
      </w:r>
      <w:r w:rsidR="007F3EEF" w:rsidRPr="00E267AB">
        <w:rPr>
          <w:lang w:val="fr-FR"/>
        </w:rPr>
        <w:t xml:space="preserve"> traumatisant</w:t>
      </w:r>
      <w:r w:rsidR="00007D99" w:rsidRPr="00E267AB">
        <w:rPr>
          <w:lang w:val="fr-FR"/>
        </w:rPr>
        <w:t>s</w:t>
      </w:r>
      <w:r w:rsidR="007F3EEF" w:rsidRPr="00E267AB">
        <w:rPr>
          <w:lang w:val="fr-FR"/>
        </w:rPr>
        <w:t xml:space="preserve"> de son </w:t>
      </w:r>
      <w:r w:rsidR="00CC77A5" w:rsidRPr="00E267AB">
        <w:rPr>
          <w:lang w:val="fr-FR"/>
        </w:rPr>
        <w:t>enfance</w:t>
      </w:r>
      <w:r w:rsidR="00D466F7" w:rsidRPr="00E267AB">
        <w:rPr>
          <w:lang w:val="fr-FR"/>
        </w:rPr>
        <w:t>.</w:t>
      </w:r>
    </w:p>
    <w:p w:rsidR="004A031E" w:rsidRPr="00E267AB" w:rsidRDefault="00BA6D83" w:rsidP="00E267AB">
      <w:pPr>
        <w:pStyle w:val="ECHRPara"/>
        <w:rPr>
          <w:lang w:val="fr-FR"/>
        </w:rPr>
      </w:pPr>
      <w:r w:rsidRPr="00E267AB">
        <w:rPr>
          <w:lang w:val="fr-FR"/>
        </w:rPr>
        <w:lastRenderedPageBreak/>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62</w:t>
      </w:r>
      <w:r w:rsidRPr="00E267AB">
        <w:rPr>
          <w:lang w:val="fr-FR"/>
        </w:rPr>
        <w:fldChar w:fldCharType="end"/>
      </w:r>
      <w:r w:rsidRPr="00E267AB">
        <w:rPr>
          <w:lang w:val="fr-FR"/>
        </w:rPr>
        <w:t>.  </w:t>
      </w:r>
      <w:r w:rsidR="00ED0AB9" w:rsidRPr="00E267AB">
        <w:rPr>
          <w:lang w:val="fr-FR"/>
        </w:rPr>
        <w:t>Un</w:t>
      </w:r>
      <w:r w:rsidR="004A031E" w:rsidRPr="00E267AB">
        <w:rPr>
          <w:lang w:val="fr-FR"/>
        </w:rPr>
        <w:t xml:space="preserve"> rapport des </w:t>
      </w:r>
      <w:r w:rsidR="00CC77A5" w:rsidRPr="00E267AB">
        <w:rPr>
          <w:lang w:val="fr-FR"/>
        </w:rPr>
        <w:t>services</w:t>
      </w:r>
      <w:r w:rsidR="004A031E" w:rsidRPr="00E267AB">
        <w:rPr>
          <w:lang w:val="fr-FR"/>
        </w:rPr>
        <w:t xml:space="preserve"> </w:t>
      </w:r>
      <w:r w:rsidR="00ED0AB9" w:rsidRPr="00E267AB">
        <w:rPr>
          <w:lang w:val="fr-FR"/>
        </w:rPr>
        <w:t>sociaux</w:t>
      </w:r>
      <w:r w:rsidR="004A031E" w:rsidRPr="00E267AB">
        <w:rPr>
          <w:lang w:val="fr-FR"/>
        </w:rPr>
        <w:t xml:space="preserve"> </w:t>
      </w:r>
      <w:r w:rsidR="00A8464C" w:rsidRPr="00E267AB">
        <w:rPr>
          <w:lang w:val="fr-FR"/>
        </w:rPr>
        <w:t>faisant état de la situation de l</w:t>
      </w:r>
      <w:r w:rsidR="00E267AB" w:rsidRPr="00E267AB">
        <w:rPr>
          <w:lang w:val="fr-FR"/>
        </w:rPr>
        <w:t>’</w:t>
      </w:r>
      <w:r w:rsidR="00A8464C" w:rsidRPr="00E267AB">
        <w:rPr>
          <w:lang w:val="fr-FR"/>
        </w:rPr>
        <w:t xml:space="preserve">enfant entre septembre 2014 et janvier 2015 </w:t>
      </w:r>
      <w:r w:rsidR="004A031E" w:rsidRPr="00E267AB">
        <w:rPr>
          <w:lang w:val="fr-FR"/>
        </w:rPr>
        <w:t xml:space="preserve">fut </w:t>
      </w:r>
      <w:r w:rsidR="00ED0AB9" w:rsidRPr="00E267AB">
        <w:rPr>
          <w:lang w:val="fr-FR"/>
        </w:rPr>
        <w:t>déposé</w:t>
      </w:r>
      <w:r w:rsidR="004A031E" w:rsidRPr="00E267AB">
        <w:rPr>
          <w:lang w:val="fr-FR"/>
        </w:rPr>
        <w:t xml:space="preserve"> devant le tribunal pour enfants</w:t>
      </w:r>
      <w:r w:rsidR="00ED0AB9" w:rsidRPr="00E267AB">
        <w:rPr>
          <w:lang w:val="fr-FR"/>
        </w:rPr>
        <w:t xml:space="preserve">. </w:t>
      </w:r>
      <w:r w:rsidR="00A8464C" w:rsidRPr="00E267AB">
        <w:rPr>
          <w:lang w:val="fr-FR"/>
        </w:rPr>
        <w:t>Il ressortait de ce rapport que l</w:t>
      </w:r>
      <w:r w:rsidR="0049278C" w:rsidRPr="00E267AB">
        <w:rPr>
          <w:lang w:val="fr-FR"/>
        </w:rPr>
        <w:t>a mineure</w:t>
      </w:r>
      <w:r w:rsidR="004A031E" w:rsidRPr="00E267AB">
        <w:rPr>
          <w:lang w:val="fr-FR"/>
        </w:rPr>
        <w:t xml:space="preserve"> avait accepté la </w:t>
      </w:r>
      <w:r w:rsidR="00ED0AB9" w:rsidRPr="00E267AB">
        <w:rPr>
          <w:lang w:val="fr-FR"/>
        </w:rPr>
        <w:t>psychothérapie</w:t>
      </w:r>
      <w:r w:rsidR="004A031E" w:rsidRPr="00E267AB">
        <w:rPr>
          <w:lang w:val="fr-FR"/>
        </w:rPr>
        <w:t xml:space="preserve"> mais refus</w:t>
      </w:r>
      <w:r w:rsidR="00A8464C" w:rsidRPr="00E267AB">
        <w:rPr>
          <w:lang w:val="fr-FR"/>
        </w:rPr>
        <w:t>é</w:t>
      </w:r>
      <w:r w:rsidR="004A031E" w:rsidRPr="00E267AB">
        <w:rPr>
          <w:lang w:val="fr-FR"/>
        </w:rPr>
        <w:t xml:space="preserve"> d</w:t>
      </w:r>
      <w:r w:rsidR="00ED0AB9" w:rsidRPr="00E267AB">
        <w:rPr>
          <w:lang w:val="fr-FR"/>
        </w:rPr>
        <w:t xml:space="preserve">e </w:t>
      </w:r>
      <w:r w:rsidR="004A031E" w:rsidRPr="00E267AB">
        <w:rPr>
          <w:lang w:val="fr-FR"/>
        </w:rPr>
        <w:t>voir son père</w:t>
      </w:r>
      <w:r w:rsidR="00A8464C" w:rsidRPr="00E267AB">
        <w:rPr>
          <w:lang w:val="fr-FR"/>
        </w:rPr>
        <w:t>, que l</w:t>
      </w:r>
      <w:r w:rsidR="004A031E" w:rsidRPr="00E267AB">
        <w:rPr>
          <w:lang w:val="fr-FR"/>
        </w:rPr>
        <w:t>es deu</w:t>
      </w:r>
      <w:r w:rsidR="00ED0AB9" w:rsidRPr="00E267AB">
        <w:rPr>
          <w:lang w:val="fr-FR"/>
        </w:rPr>
        <w:t xml:space="preserve">x </w:t>
      </w:r>
      <w:r w:rsidR="00A8464C" w:rsidRPr="00E267AB">
        <w:rPr>
          <w:lang w:val="fr-FR"/>
        </w:rPr>
        <w:t xml:space="preserve">seules </w:t>
      </w:r>
      <w:r w:rsidR="00ED0AB9" w:rsidRPr="00E267AB">
        <w:rPr>
          <w:lang w:val="fr-FR"/>
        </w:rPr>
        <w:t>rencontres qui avaient eu</w:t>
      </w:r>
      <w:r w:rsidR="004A031E" w:rsidRPr="00E267AB">
        <w:rPr>
          <w:lang w:val="fr-FR"/>
        </w:rPr>
        <w:t xml:space="preserve"> lieu en </w:t>
      </w:r>
      <w:r w:rsidR="00ED0AB9" w:rsidRPr="00E267AB">
        <w:rPr>
          <w:lang w:val="fr-FR"/>
        </w:rPr>
        <w:t>décembre</w:t>
      </w:r>
      <w:r w:rsidR="004A031E" w:rsidRPr="00E267AB">
        <w:rPr>
          <w:lang w:val="fr-FR"/>
        </w:rPr>
        <w:t xml:space="preserve"> </w:t>
      </w:r>
      <w:r w:rsidR="00A8464C" w:rsidRPr="00E267AB">
        <w:rPr>
          <w:lang w:val="fr-FR"/>
        </w:rPr>
        <w:t xml:space="preserve">2014 </w:t>
      </w:r>
      <w:r w:rsidR="004A031E" w:rsidRPr="00E267AB">
        <w:rPr>
          <w:lang w:val="fr-FR"/>
        </w:rPr>
        <w:t xml:space="preserve">et janvier </w:t>
      </w:r>
      <w:r w:rsidR="00A8464C" w:rsidRPr="00E267AB">
        <w:rPr>
          <w:lang w:val="fr-FR"/>
        </w:rPr>
        <w:t xml:space="preserve">2015 </w:t>
      </w:r>
      <w:r w:rsidR="004A031E" w:rsidRPr="00E267AB">
        <w:rPr>
          <w:lang w:val="fr-FR"/>
        </w:rPr>
        <w:t>s</w:t>
      </w:r>
      <w:r w:rsidR="00E267AB" w:rsidRPr="00E267AB">
        <w:rPr>
          <w:lang w:val="fr-FR"/>
        </w:rPr>
        <w:t>’</w:t>
      </w:r>
      <w:r w:rsidR="00ED0AB9" w:rsidRPr="00E267AB">
        <w:rPr>
          <w:lang w:val="fr-FR"/>
        </w:rPr>
        <w:t>étaient</w:t>
      </w:r>
      <w:r w:rsidR="004A031E" w:rsidRPr="00E267AB">
        <w:rPr>
          <w:lang w:val="fr-FR"/>
        </w:rPr>
        <w:t xml:space="preserve"> </w:t>
      </w:r>
      <w:r w:rsidR="00ED0AB9" w:rsidRPr="00E267AB">
        <w:rPr>
          <w:lang w:val="fr-FR"/>
        </w:rPr>
        <w:t>déroulées</w:t>
      </w:r>
      <w:r w:rsidR="004A031E" w:rsidRPr="00E267AB">
        <w:rPr>
          <w:lang w:val="fr-FR"/>
        </w:rPr>
        <w:t xml:space="preserve"> </w:t>
      </w:r>
      <w:r w:rsidR="00ED0AB9" w:rsidRPr="00E267AB">
        <w:rPr>
          <w:lang w:val="fr-FR"/>
        </w:rPr>
        <w:t>difficilement</w:t>
      </w:r>
      <w:r w:rsidR="004A031E" w:rsidRPr="00E267AB">
        <w:rPr>
          <w:lang w:val="fr-FR"/>
        </w:rPr>
        <w:t xml:space="preserve"> à cause de la </w:t>
      </w:r>
      <w:r w:rsidR="00ED0AB9" w:rsidRPr="00E267AB">
        <w:rPr>
          <w:lang w:val="fr-FR"/>
        </w:rPr>
        <w:t>réaction de re</w:t>
      </w:r>
      <w:r w:rsidR="00A8464C" w:rsidRPr="00E267AB">
        <w:rPr>
          <w:lang w:val="fr-FR"/>
        </w:rPr>
        <w:t>jet</w:t>
      </w:r>
      <w:r w:rsidR="00ED0AB9" w:rsidRPr="00E267AB">
        <w:rPr>
          <w:lang w:val="fr-FR"/>
        </w:rPr>
        <w:t xml:space="preserve"> </w:t>
      </w:r>
      <w:r w:rsidR="00EE339C" w:rsidRPr="00E267AB">
        <w:rPr>
          <w:lang w:val="fr-FR"/>
        </w:rPr>
        <w:t xml:space="preserve">manifestée par </w:t>
      </w:r>
      <w:r w:rsidR="00ED0AB9" w:rsidRPr="00E267AB">
        <w:rPr>
          <w:lang w:val="fr-FR"/>
        </w:rPr>
        <w:t>l</w:t>
      </w:r>
      <w:r w:rsidR="00E267AB" w:rsidRPr="00E267AB">
        <w:rPr>
          <w:lang w:val="fr-FR"/>
        </w:rPr>
        <w:t>’</w:t>
      </w:r>
      <w:r w:rsidR="00ED0AB9" w:rsidRPr="00E267AB">
        <w:rPr>
          <w:lang w:val="fr-FR"/>
        </w:rPr>
        <w:t xml:space="preserve">enfant vis-à-vis </w:t>
      </w:r>
      <w:r w:rsidR="004A031E" w:rsidRPr="00E267AB">
        <w:rPr>
          <w:lang w:val="fr-FR"/>
        </w:rPr>
        <w:t>du requérant</w:t>
      </w:r>
      <w:r w:rsidR="00A8464C" w:rsidRPr="00E267AB">
        <w:rPr>
          <w:lang w:val="fr-FR"/>
        </w:rPr>
        <w:t xml:space="preserve"> et que l</w:t>
      </w:r>
      <w:r w:rsidR="004A031E" w:rsidRPr="00E267AB">
        <w:rPr>
          <w:lang w:val="fr-FR"/>
        </w:rPr>
        <w:t xml:space="preserve">es services </w:t>
      </w:r>
      <w:r w:rsidR="00ED0AB9" w:rsidRPr="00E267AB">
        <w:rPr>
          <w:lang w:val="fr-FR"/>
        </w:rPr>
        <w:t>sociaux</w:t>
      </w:r>
      <w:r w:rsidR="004A031E" w:rsidRPr="00E267AB">
        <w:rPr>
          <w:lang w:val="fr-FR"/>
        </w:rPr>
        <w:t xml:space="preserve"> </w:t>
      </w:r>
      <w:r w:rsidR="00ED0AB9" w:rsidRPr="00E267AB">
        <w:rPr>
          <w:lang w:val="fr-FR"/>
        </w:rPr>
        <w:t>préconisaient</w:t>
      </w:r>
      <w:r w:rsidR="004A031E" w:rsidRPr="00E267AB">
        <w:rPr>
          <w:lang w:val="fr-FR"/>
        </w:rPr>
        <w:t xml:space="preserve"> d</w:t>
      </w:r>
      <w:r w:rsidR="00E267AB" w:rsidRPr="00E267AB">
        <w:rPr>
          <w:lang w:val="fr-FR"/>
        </w:rPr>
        <w:t>’</w:t>
      </w:r>
      <w:r w:rsidR="004A031E" w:rsidRPr="00E267AB">
        <w:rPr>
          <w:lang w:val="fr-FR"/>
        </w:rPr>
        <w:t>intensifier les rencontre</w:t>
      </w:r>
      <w:r w:rsidR="00A8464C" w:rsidRPr="00E267AB">
        <w:rPr>
          <w:lang w:val="fr-FR"/>
        </w:rPr>
        <w:t>s</w:t>
      </w:r>
      <w:r w:rsidR="004A031E" w:rsidRPr="00E267AB">
        <w:rPr>
          <w:lang w:val="fr-FR"/>
        </w:rPr>
        <w:t xml:space="preserve"> et les </w:t>
      </w:r>
      <w:r w:rsidR="00ED0AB9" w:rsidRPr="00E267AB">
        <w:rPr>
          <w:lang w:val="fr-FR"/>
        </w:rPr>
        <w:t>séances</w:t>
      </w:r>
      <w:r w:rsidR="004A031E" w:rsidRPr="00E267AB">
        <w:rPr>
          <w:lang w:val="fr-FR"/>
        </w:rPr>
        <w:t xml:space="preserve"> de </w:t>
      </w:r>
      <w:r w:rsidR="00ED0AB9" w:rsidRPr="00E267AB">
        <w:rPr>
          <w:lang w:val="fr-FR"/>
        </w:rPr>
        <w:t>psychothérapie</w:t>
      </w:r>
      <w:r w:rsidR="004A031E" w:rsidRPr="00E267AB">
        <w:rPr>
          <w:lang w:val="fr-FR"/>
        </w:rPr>
        <w:t>.</w:t>
      </w:r>
    </w:p>
    <w:p w:rsidR="00B21E1F" w:rsidRPr="00E267AB" w:rsidRDefault="00BA6D83"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63</w:t>
      </w:r>
      <w:r w:rsidRPr="00E267AB">
        <w:rPr>
          <w:lang w:val="fr-FR"/>
        </w:rPr>
        <w:fldChar w:fldCharType="end"/>
      </w:r>
      <w:r w:rsidRPr="00E267AB">
        <w:rPr>
          <w:lang w:val="fr-FR"/>
        </w:rPr>
        <w:t>.  </w:t>
      </w:r>
      <w:r w:rsidR="004A031E" w:rsidRPr="00E267AB">
        <w:rPr>
          <w:lang w:val="fr-FR"/>
        </w:rPr>
        <w:t xml:space="preserve">Un autre rapport fut </w:t>
      </w:r>
      <w:r w:rsidR="00ED0AB9" w:rsidRPr="00E267AB">
        <w:rPr>
          <w:lang w:val="fr-FR"/>
        </w:rPr>
        <w:t>déposé</w:t>
      </w:r>
      <w:r w:rsidR="008B7FE3" w:rsidRPr="00E267AB">
        <w:rPr>
          <w:lang w:val="fr-FR"/>
        </w:rPr>
        <w:t xml:space="preserve"> le 10 mars 2015</w:t>
      </w:r>
      <w:r w:rsidR="0045004D" w:rsidRPr="00E267AB">
        <w:rPr>
          <w:lang w:val="fr-FR"/>
        </w:rPr>
        <w:t>, indiquant qu</w:t>
      </w:r>
      <w:r w:rsidR="00E267AB" w:rsidRPr="00E267AB">
        <w:rPr>
          <w:lang w:val="fr-FR"/>
        </w:rPr>
        <w:t>’</w:t>
      </w:r>
      <w:r w:rsidR="008B7FE3" w:rsidRPr="00E267AB">
        <w:rPr>
          <w:lang w:val="fr-FR"/>
        </w:rPr>
        <w:t>une seule rencontre a</w:t>
      </w:r>
      <w:r w:rsidR="00ED0AB9" w:rsidRPr="00E267AB">
        <w:rPr>
          <w:lang w:val="fr-FR"/>
        </w:rPr>
        <w:t xml:space="preserve">vait eu </w:t>
      </w:r>
      <w:r w:rsidR="008B7FE3" w:rsidRPr="00E267AB">
        <w:rPr>
          <w:lang w:val="fr-FR"/>
        </w:rPr>
        <w:t>lieu</w:t>
      </w:r>
      <w:r w:rsidR="00AF094D" w:rsidRPr="00E267AB">
        <w:rPr>
          <w:lang w:val="fr-FR"/>
        </w:rPr>
        <w:t xml:space="preserve"> et que la mère y avait assisté</w:t>
      </w:r>
      <w:r w:rsidR="008B7FE3" w:rsidRPr="00E267AB">
        <w:rPr>
          <w:lang w:val="fr-FR"/>
        </w:rPr>
        <w:t xml:space="preserve">. </w:t>
      </w:r>
      <w:r w:rsidR="0045004D" w:rsidRPr="00E267AB">
        <w:rPr>
          <w:lang w:val="fr-FR"/>
        </w:rPr>
        <w:t>Selon ce rapport, p</w:t>
      </w:r>
      <w:r w:rsidR="008B7FE3" w:rsidRPr="00E267AB">
        <w:rPr>
          <w:lang w:val="fr-FR"/>
        </w:rPr>
        <w:t xml:space="preserve">endant </w:t>
      </w:r>
      <w:r w:rsidR="00D12B16" w:rsidRPr="00E267AB">
        <w:rPr>
          <w:lang w:val="fr-FR"/>
        </w:rPr>
        <w:t>cette</w:t>
      </w:r>
      <w:r w:rsidR="008B7FE3" w:rsidRPr="00E267AB">
        <w:rPr>
          <w:lang w:val="fr-FR"/>
        </w:rPr>
        <w:t xml:space="preserve"> rencontre</w:t>
      </w:r>
      <w:r w:rsidR="00D12B16" w:rsidRPr="00E267AB">
        <w:rPr>
          <w:lang w:val="fr-FR"/>
        </w:rPr>
        <w:t>,</w:t>
      </w:r>
      <w:r w:rsidR="008B7FE3" w:rsidRPr="00E267AB">
        <w:rPr>
          <w:lang w:val="fr-FR"/>
        </w:rPr>
        <w:t xml:space="preserve"> l</w:t>
      </w:r>
      <w:r w:rsidR="00E267AB" w:rsidRPr="00E267AB">
        <w:rPr>
          <w:lang w:val="fr-FR"/>
        </w:rPr>
        <w:t>’</w:t>
      </w:r>
      <w:r w:rsidR="008B7FE3" w:rsidRPr="00E267AB">
        <w:rPr>
          <w:lang w:val="fr-FR"/>
        </w:rPr>
        <w:t>enfant a</w:t>
      </w:r>
      <w:r w:rsidR="0045004D" w:rsidRPr="00E267AB">
        <w:rPr>
          <w:lang w:val="fr-FR"/>
        </w:rPr>
        <w:t>v</w:t>
      </w:r>
      <w:r w:rsidR="008B7FE3" w:rsidRPr="00E267AB">
        <w:rPr>
          <w:lang w:val="fr-FR"/>
        </w:rPr>
        <w:t xml:space="preserve">ait demandé en sanglotant </w:t>
      </w:r>
      <w:r w:rsidR="00D12B16" w:rsidRPr="00E267AB">
        <w:rPr>
          <w:lang w:val="fr-FR"/>
        </w:rPr>
        <w:t>à son</w:t>
      </w:r>
      <w:r w:rsidR="008B7FE3" w:rsidRPr="00E267AB">
        <w:rPr>
          <w:lang w:val="fr-FR"/>
        </w:rPr>
        <w:t xml:space="preserve"> père </w:t>
      </w:r>
      <w:r w:rsidR="0045004D" w:rsidRPr="00E267AB">
        <w:rPr>
          <w:lang w:val="fr-FR"/>
        </w:rPr>
        <w:t>qu</w:t>
      </w:r>
      <w:r w:rsidR="00E267AB" w:rsidRPr="00E267AB">
        <w:rPr>
          <w:lang w:val="fr-FR"/>
        </w:rPr>
        <w:t>’</w:t>
      </w:r>
      <w:r w:rsidR="0045004D" w:rsidRPr="00E267AB">
        <w:rPr>
          <w:lang w:val="fr-FR"/>
        </w:rPr>
        <w:t>il s</w:t>
      </w:r>
      <w:r w:rsidR="00E267AB" w:rsidRPr="00E267AB">
        <w:rPr>
          <w:lang w:val="fr-FR"/>
        </w:rPr>
        <w:t>’</w:t>
      </w:r>
      <w:r w:rsidR="0045004D" w:rsidRPr="00E267AB">
        <w:rPr>
          <w:lang w:val="fr-FR"/>
        </w:rPr>
        <w:t>excusât auprès d</w:t>
      </w:r>
      <w:r w:rsidR="00E267AB" w:rsidRPr="00E267AB">
        <w:rPr>
          <w:lang w:val="fr-FR"/>
        </w:rPr>
        <w:t>’</w:t>
      </w:r>
      <w:r w:rsidR="0045004D" w:rsidRPr="00E267AB">
        <w:rPr>
          <w:lang w:val="fr-FR"/>
        </w:rPr>
        <w:t>elle</w:t>
      </w:r>
      <w:r w:rsidR="008B7FE3" w:rsidRPr="00E267AB">
        <w:rPr>
          <w:lang w:val="fr-FR"/>
        </w:rPr>
        <w:t xml:space="preserve"> pour les abus </w:t>
      </w:r>
      <w:r w:rsidR="00D12B16" w:rsidRPr="00E267AB">
        <w:rPr>
          <w:lang w:val="fr-FR"/>
        </w:rPr>
        <w:t>qu</w:t>
      </w:r>
      <w:r w:rsidR="00E267AB" w:rsidRPr="00E267AB">
        <w:rPr>
          <w:lang w:val="fr-FR"/>
        </w:rPr>
        <w:t>’</w:t>
      </w:r>
      <w:r w:rsidR="00D12B16" w:rsidRPr="00E267AB">
        <w:rPr>
          <w:lang w:val="fr-FR"/>
        </w:rPr>
        <w:t>elle aurait subis étant plus jeune</w:t>
      </w:r>
      <w:r w:rsidR="008B7FE3" w:rsidRPr="00E267AB">
        <w:rPr>
          <w:lang w:val="fr-FR"/>
        </w:rPr>
        <w:t>.</w:t>
      </w:r>
    </w:p>
    <w:p w:rsidR="00BA6D83" w:rsidRPr="00E267AB" w:rsidRDefault="008B7FE3" w:rsidP="00E267AB">
      <w:pPr>
        <w:pStyle w:val="ECHRPara"/>
        <w:rPr>
          <w:lang w:val="fr-FR"/>
        </w:rPr>
      </w:pPr>
      <w:r w:rsidRPr="00E267AB">
        <w:rPr>
          <w:lang w:val="fr-FR"/>
        </w:rPr>
        <w:t>Entre mars et avril 2015</w:t>
      </w:r>
      <w:r w:rsidR="00D12B16" w:rsidRPr="00E267AB">
        <w:rPr>
          <w:lang w:val="fr-FR"/>
        </w:rPr>
        <w:t>, neuf</w:t>
      </w:r>
      <w:r w:rsidRPr="00E267AB">
        <w:rPr>
          <w:lang w:val="fr-FR"/>
        </w:rPr>
        <w:t xml:space="preserve"> rencontres</w:t>
      </w:r>
      <w:r w:rsidR="00BA6D83" w:rsidRPr="00E267AB">
        <w:rPr>
          <w:lang w:val="fr-FR"/>
        </w:rPr>
        <w:t xml:space="preserve"> </w:t>
      </w:r>
      <w:r w:rsidR="00D12B16" w:rsidRPr="00E267AB">
        <w:rPr>
          <w:lang w:val="fr-FR"/>
        </w:rPr>
        <w:t>eurent lieu</w:t>
      </w:r>
      <w:r w:rsidR="00EE339C" w:rsidRPr="00E267AB">
        <w:rPr>
          <w:lang w:val="fr-FR"/>
        </w:rPr>
        <w:t>,</w:t>
      </w:r>
      <w:r w:rsidR="00D12B16" w:rsidRPr="00E267AB">
        <w:rPr>
          <w:lang w:val="fr-FR"/>
        </w:rPr>
        <w:t xml:space="preserve"> en</w:t>
      </w:r>
      <w:r w:rsidR="00BA6D83" w:rsidRPr="00E267AB">
        <w:rPr>
          <w:lang w:val="fr-FR"/>
        </w:rPr>
        <w:t xml:space="preserve"> présence de la mère</w:t>
      </w:r>
      <w:r w:rsidR="00D12B16" w:rsidRPr="00E267AB">
        <w:rPr>
          <w:lang w:val="fr-FR"/>
        </w:rPr>
        <w:t>, au cours desquelles l</w:t>
      </w:r>
      <w:r w:rsidR="00E267AB" w:rsidRPr="00E267AB">
        <w:rPr>
          <w:lang w:val="fr-FR"/>
        </w:rPr>
        <w:t>’</w:t>
      </w:r>
      <w:r w:rsidR="00BA6D83" w:rsidRPr="00E267AB">
        <w:rPr>
          <w:lang w:val="fr-FR"/>
        </w:rPr>
        <w:t xml:space="preserve">enfant </w:t>
      </w:r>
      <w:r w:rsidR="00ED0AB9" w:rsidRPr="00E267AB">
        <w:rPr>
          <w:lang w:val="fr-FR"/>
        </w:rPr>
        <w:t xml:space="preserve">put </w:t>
      </w:r>
      <w:r w:rsidR="00BA6D83" w:rsidRPr="00E267AB">
        <w:rPr>
          <w:lang w:val="fr-FR"/>
        </w:rPr>
        <w:t xml:space="preserve">rencontrer </w:t>
      </w:r>
      <w:r w:rsidR="00D12B16" w:rsidRPr="00E267AB">
        <w:rPr>
          <w:lang w:val="fr-FR"/>
        </w:rPr>
        <w:t>s</w:t>
      </w:r>
      <w:r w:rsidR="00BA6D83" w:rsidRPr="00E267AB">
        <w:rPr>
          <w:lang w:val="fr-FR"/>
        </w:rPr>
        <w:t xml:space="preserve">es </w:t>
      </w:r>
      <w:r w:rsidR="00ED0AB9" w:rsidRPr="00E267AB">
        <w:rPr>
          <w:lang w:val="fr-FR"/>
        </w:rPr>
        <w:t>grands-parents</w:t>
      </w:r>
      <w:r w:rsidR="00BA6D83" w:rsidRPr="00E267AB">
        <w:rPr>
          <w:lang w:val="fr-FR"/>
        </w:rPr>
        <w:t xml:space="preserve"> </w:t>
      </w:r>
      <w:r w:rsidR="00D12B16" w:rsidRPr="00E267AB">
        <w:rPr>
          <w:lang w:val="fr-FR"/>
        </w:rPr>
        <w:t>p</w:t>
      </w:r>
      <w:r w:rsidR="00BA6D83" w:rsidRPr="00E267AB">
        <w:rPr>
          <w:lang w:val="fr-FR"/>
        </w:rPr>
        <w:t>aternels.</w:t>
      </w:r>
    </w:p>
    <w:p w:rsidR="00325DE1" w:rsidRPr="00E267AB" w:rsidRDefault="00ED0AB9"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64</w:t>
      </w:r>
      <w:r w:rsidRPr="00E267AB">
        <w:rPr>
          <w:lang w:val="fr-FR"/>
        </w:rPr>
        <w:fldChar w:fldCharType="end"/>
      </w:r>
      <w:r w:rsidRPr="00E267AB">
        <w:rPr>
          <w:lang w:val="fr-FR"/>
        </w:rPr>
        <w:t>.  Le</w:t>
      </w:r>
      <w:r w:rsidR="00BA6D83" w:rsidRPr="00E267AB">
        <w:rPr>
          <w:lang w:val="fr-FR"/>
        </w:rPr>
        <w:t xml:space="preserve"> 31 juillet 20</w:t>
      </w:r>
      <w:r w:rsidR="00D466F7" w:rsidRPr="00E267AB">
        <w:rPr>
          <w:lang w:val="fr-FR"/>
        </w:rPr>
        <w:t>1</w:t>
      </w:r>
      <w:r w:rsidR="00BA6D83" w:rsidRPr="00E267AB">
        <w:rPr>
          <w:lang w:val="fr-FR"/>
        </w:rPr>
        <w:t xml:space="preserve">5, les services </w:t>
      </w:r>
      <w:r w:rsidRPr="00E267AB">
        <w:rPr>
          <w:lang w:val="fr-FR"/>
        </w:rPr>
        <w:t>sociaux</w:t>
      </w:r>
      <w:r w:rsidR="00BA6D83" w:rsidRPr="00E267AB">
        <w:rPr>
          <w:lang w:val="fr-FR"/>
        </w:rPr>
        <w:t xml:space="preserve"> </w:t>
      </w:r>
      <w:r w:rsidRPr="00E267AB">
        <w:rPr>
          <w:lang w:val="fr-FR"/>
        </w:rPr>
        <w:t>signalèrent</w:t>
      </w:r>
      <w:r w:rsidR="00BA6D83" w:rsidRPr="00E267AB">
        <w:rPr>
          <w:lang w:val="fr-FR"/>
        </w:rPr>
        <w:t xml:space="preserve"> au tribunal </w:t>
      </w:r>
      <w:r w:rsidR="00822A07" w:rsidRPr="00E267AB">
        <w:rPr>
          <w:lang w:val="fr-FR"/>
        </w:rPr>
        <w:t xml:space="preserve">pour enfants </w:t>
      </w:r>
      <w:r w:rsidR="00BA6D83" w:rsidRPr="00E267AB">
        <w:rPr>
          <w:lang w:val="fr-FR"/>
        </w:rPr>
        <w:t xml:space="preserve">que la situation avait </w:t>
      </w:r>
      <w:r w:rsidRPr="00E267AB">
        <w:rPr>
          <w:lang w:val="fr-FR"/>
        </w:rPr>
        <w:t>soudainement</w:t>
      </w:r>
      <w:r w:rsidR="00BA6D83" w:rsidRPr="00E267AB">
        <w:rPr>
          <w:lang w:val="fr-FR"/>
        </w:rPr>
        <w:t xml:space="preserve"> </w:t>
      </w:r>
      <w:r w:rsidRPr="00E267AB">
        <w:rPr>
          <w:lang w:val="fr-FR"/>
        </w:rPr>
        <w:t>changé</w:t>
      </w:r>
      <w:r w:rsidR="00BA6D83" w:rsidRPr="00E267AB">
        <w:rPr>
          <w:lang w:val="fr-FR"/>
        </w:rPr>
        <w:t xml:space="preserve">. </w:t>
      </w:r>
      <w:r w:rsidR="00325DE1" w:rsidRPr="00E267AB">
        <w:rPr>
          <w:lang w:val="fr-FR"/>
        </w:rPr>
        <w:t>La dernière rencontre datée du 20</w:t>
      </w:r>
      <w:r w:rsidR="007F2D46" w:rsidRPr="00E267AB">
        <w:rPr>
          <w:lang w:val="fr-FR"/>
        </w:rPr>
        <w:t> </w:t>
      </w:r>
      <w:r w:rsidR="00325DE1" w:rsidRPr="00E267AB">
        <w:rPr>
          <w:lang w:val="fr-FR"/>
        </w:rPr>
        <w:t xml:space="preserve">juillet 2015 </w:t>
      </w:r>
      <w:r w:rsidR="007F2D46" w:rsidRPr="00E267AB">
        <w:rPr>
          <w:lang w:val="fr-FR"/>
        </w:rPr>
        <w:t>se serait déroulée de manière</w:t>
      </w:r>
      <w:r w:rsidR="00325DE1" w:rsidRPr="00E267AB">
        <w:rPr>
          <w:lang w:val="fr-FR"/>
        </w:rPr>
        <w:t xml:space="preserve"> désastreu</w:t>
      </w:r>
      <w:r w:rsidR="007F2D46" w:rsidRPr="00E267AB">
        <w:rPr>
          <w:lang w:val="fr-FR"/>
        </w:rPr>
        <w:t>se : l</w:t>
      </w:r>
      <w:r w:rsidR="00E267AB" w:rsidRPr="00E267AB">
        <w:rPr>
          <w:lang w:val="fr-FR"/>
        </w:rPr>
        <w:t>’</w:t>
      </w:r>
      <w:r w:rsidR="00BA6D83" w:rsidRPr="00E267AB">
        <w:rPr>
          <w:lang w:val="fr-FR"/>
        </w:rPr>
        <w:t>enfant a</w:t>
      </w:r>
      <w:r w:rsidR="007F2D46" w:rsidRPr="00E267AB">
        <w:rPr>
          <w:lang w:val="fr-FR"/>
        </w:rPr>
        <w:t>ur</w:t>
      </w:r>
      <w:r w:rsidR="00BA6D83" w:rsidRPr="00E267AB">
        <w:rPr>
          <w:lang w:val="fr-FR"/>
        </w:rPr>
        <w:t xml:space="preserve">ait refusé tout contact avec </w:t>
      </w:r>
      <w:r w:rsidR="007F2D46" w:rsidRPr="00E267AB">
        <w:rPr>
          <w:lang w:val="fr-FR"/>
        </w:rPr>
        <w:t>s</w:t>
      </w:r>
      <w:r w:rsidR="00BA6D83" w:rsidRPr="00E267AB">
        <w:rPr>
          <w:lang w:val="fr-FR"/>
        </w:rPr>
        <w:t>es grands</w:t>
      </w:r>
      <w:r w:rsidR="008526AF" w:rsidRPr="00E267AB">
        <w:rPr>
          <w:lang w:val="fr-FR"/>
        </w:rPr>
        <w:t>-</w:t>
      </w:r>
      <w:r w:rsidR="00BA6D83" w:rsidRPr="00E267AB">
        <w:rPr>
          <w:lang w:val="fr-FR"/>
        </w:rPr>
        <w:t xml:space="preserve">parents et </w:t>
      </w:r>
      <w:r w:rsidR="007F2D46" w:rsidRPr="00E267AB">
        <w:rPr>
          <w:lang w:val="fr-FR"/>
        </w:rPr>
        <w:t>son</w:t>
      </w:r>
      <w:r w:rsidR="00BA6D83" w:rsidRPr="00E267AB">
        <w:rPr>
          <w:lang w:val="fr-FR"/>
        </w:rPr>
        <w:t xml:space="preserve"> père</w:t>
      </w:r>
      <w:r w:rsidR="007F2D46" w:rsidRPr="00E267AB">
        <w:rPr>
          <w:lang w:val="fr-FR"/>
        </w:rPr>
        <w:t>, et</w:t>
      </w:r>
      <w:r w:rsidR="00BA6D83" w:rsidRPr="00E267AB">
        <w:rPr>
          <w:lang w:val="fr-FR"/>
        </w:rPr>
        <w:t xml:space="preserve"> elle n</w:t>
      </w:r>
      <w:r w:rsidR="00E267AB" w:rsidRPr="00E267AB">
        <w:rPr>
          <w:lang w:val="fr-FR"/>
        </w:rPr>
        <w:t>’</w:t>
      </w:r>
      <w:r w:rsidR="00BA6D83" w:rsidRPr="00E267AB">
        <w:rPr>
          <w:lang w:val="fr-FR"/>
        </w:rPr>
        <w:t>a</w:t>
      </w:r>
      <w:r w:rsidR="007F2D46" w:rsidRPr="00E267AB">
        <w:rPr>
          <w:lang w:val="fr-FR"/>
        </w:rPr>
        <w:t>ur</w:t>
      </w:r>
      <w:r w:rsidR="00BA6D83" w:rsidRPr="00E267AB">
        <w:rPr>
          <w:lang w:val="fr-FR"/>
        </w:rPr>
        <w:t xml:space="preserve">ait pas </w:t>
      </w:r>
      <w:r w:rsidR="00325DE1" w:rsidRPr="00E267AB">
        <w:rPr>
          <w:lang w:val="fr-FR"/>
        </w:rPr>
        <w:t>voulu</w:t>
      </w:r>
      <w:r w:rsidR="00BA6D83" w:rsidRPr="00E267AB">
        <w:rPr>
          <w:lang w:val="fr-FR"/>
        </w:rPr>
        <w:t xml:space="preserve"> </w:t>
      </w:r>
      <w:r w:rsidR="00325DE1" w:rsidRPr="00E267AB">
        <w:rPr>
          <w:lang w:val="fr-FR"/>
        </w:rPr>
        <w:t>descendre</w:t>
      </w:r>
      <w:r w:rsidR="00BA6D83" w:rsidRPr="00E267AB">
        <w:rPr>
          <w:lang w:val="fr-FR"/>
        </w:rPr>
        <w:t xml:space="preserve"> de la voiture</w:t>
      </w:r>
      <w:r w:rsidR="00CD2E85" w:rsidRPr="00E267AB">
        <w:rPr>
          <w:lang w:val="fr-FR"/>
        </w:rPr>
        <w:t xml:space="preserve"> pour rencontrer</w:t>
      </w:r>
      <w:r w:rsidR="007F2D46" w:rsidRPr="00E267AB">
        <w:rPr>
          <w:lang w:val="fr-FR"/>
        </w:rPr>
        <w:t xml:space="preserve"> ceux-ci</w:t>
      </w:r>
      <w:r w:rsidR="00BA6D83" w:rsidRPr="00E267AB">
        <w:rPr>
          <w:lang w:val="fr-FR"/>
        </w:rPr>
        <w:t xml:space="preserve">. Selon les </w:t>
      </w:r>
      <w:r w:rsidR="00325DE1" w:rsidRPr="00E267AB">
        <w:rPr>
          <w:lang w:val="fr-FR"/>
        </w:rPr>
        <w:t>psychologue</w:t>
      </w:r>
      <w:r w:rsidR="007F2D46" w:rsidRPr="00E267AB">
        <w:rPr>
          <w:lang w:val="fr-FR"/>
        </w:rPr>
        <w:t>s,</w:t>
      </w:r>
      <w:r w:rsidR="00BA6D83" w:rsidRPr="00E267AB">
        <w:rPr>
          <w:lang w:val="fr-FR"/>
        </w:rPr>
        <w:t xml:space="preserve"> la meilleure solution </w:t>
      </w:r>
      <w:r w:rsidR="00325DE1" w:rsidRPr="00E267AB">
        <w:rPr>
          <w:lang w:val="fr-FR"/>
        </w:rPr>
        <w:t xml:space="preserve">pour </w:t>
      </w:r>
      <w:r w:rsidR="007B3172" w:rsidRPr="00E267AB">
        <w:rPr>
          <w:lang w:val="fr-FR"/>
        </w:rPr>
        <w:t>l</w:t>
      </w:r>
      <w:r w:rsidR="00E267AB" w:rsidRPr="00E267AB">
        <w:rPr>
          <w:lang w:val="fr-FR"/>
        </w:rPr>
        <w:t>’</w:t>
      </w:r>
      <w:r w:rsidR="007B3172" w:rsidRPr="00E267AB">
        <w:rPr>
          <w:lang w:val="fr-FR"/>
        </w:rPr>
        <w:t xml:space="preserve">enfant </w:t>
      </w:r>
      <w:r w:rsidR="007F2D46" w:rsidRPr="00E267AB">
        <w:rPr>
          <w:lang w:val="fr-FR"/>
        </w:rPr>
        <w:t>consisterait</w:t>
      </w:r>
      <w:r w:rsidR="0069019C" w:rsidRPr="00E267AB">
        <w:rPr>
          <w:lang w:val="fr-FR"/>
        </w:rPr>
        <w:t xml:space="preserve"> en son placement dans un institut, afin de</w:t>
      </w:r>
      <w:r w:rsidR="007F2D46" w:rsidRPr="00E267AB">
        <w:rPr>
          <w:lang w:val="fr-FR"/>
        </w:rPr>
        <w:t xml:space="preserve"> </w:t>
      </w:r>
      <w:r w:rsidR="007B3172" w:rsidRPr="00E267AB">
        <w:rPr>
          <w:lang w:val="fr-FR"/>
        </w:rPr>
        <w:t xml:space="preserve">la </w:t>
      </w:r>
      <w:r w:rsidR="007F2D46" w:rsidRPr="00E267AB">
        <w:rPr>
          <w:lang w:val="fr-FR"/>
        </w:rPr>
        <w:t>soustraire à l</w:t>
      </w:r>
      <w:r w:rsidR="00E267AB" w:rsidRPr="00E267AB">
        <w:rPr>
          <w:lang w:val="fr-FR"/>
        </w:rPr>
        <w:t>’</w:t>
      </w:r>
      <w:r w:rsidR="007F2D46" w:rsidRPr="00E267AB">
        <w:rPr>
          <w:lang w:val="fr-FR"/>
        </w:rPr>
        <w:t>influence maternelle</w:t>
      </w:r>
      <w:r w:rsidR="007B3172" w:rsidRPr="00E267AB">
        <w:rPr>
          <w:lang w:val="fr-FR"/>
        </w:rPr>
        <w:t xml:space="preserve"> et</w:t>
      </w:r>
      <w:r w:rsidR="00822A07" w:rsidRPr="00E267AB">
        <w:rPr>
          <w:lang w:val="fr-FR"/>
        </w:rPr>
        <w:t xml:space="preserve"> de remédier à</w:t>
      </w:r>
      <w:r w:rsidR="0069019C" w:rsidRPr="00E267AB">
        <w:rPr>
          <w:lang w:val="fr-FR"/>
        </w:rPr>
        <w:t xml:space="preserve"> l</w:t>
      </w:r>
      <w:r w:rsidR="00E267AB" w:rsidRPr="00E267AB">
        <w:rPr>
          <w:lang w:val="fr-FR"/>
        </w:rPr>
        <w:t>’</w:t>
      </w:r>
      <w:r w:rsidR="0069019C" w:rsidRPr="00E267AB">
        <w:rPr>
          <w:lang w:val="fr-FR"/>
        </w:rPr>
        <w:t>impossibilité pour</w:t>
      </w:r>
      <w:r w:rsidR="00BA6D83" w:rsidRPr="00E267AB">
        <w:rPr>
          <w:lang w:val="fr-FR"/>
        </w:rPr>
        <w:t xml:space="preserve"> la mère</w:t>
      </w:r>
      <w:r w:rsidR="00325DE1" w:rsidRPr="00E267AB">
        <w:rPr>
          <w:lang w:val="fr-FR"/>
        </w:rPr>
        <w:t xml:space="preserve"> </w:t>
      </w:r>
      <w:r w:rsidR="00BA6D83" w:rsidRPr="00E267AB">
        <w:rPr>
          <w:lang w:val="fr-FR"/>
        </w:rPr>
        <w:t xml:space="preserve">de </w:t>
      </w:r>
      <w:r w:rsidR="00325DE1" w:rsidRPr="00E267AB">
        <w:rPr>
          <w:lang w:val="fr-FR"/>
        </w:rPr>
        <w:t>protéger</w:t>
      </w:r>
      <w:r w:rsidR="00BA6D83" w:rsidRPr="00E267AB">
        <w:rPr>
          <w:lang w:val="fr-FR"/>
        </w:rPr>
        <w:t xml:space="preserve"> et </w:t>
      </w:r>
      <w:r w:rsidR="0069019C" w:rsidRPr="00E267AB">
        <w:rPr>
          <w:lang w:val="fr-FR"/>
        </w:rPr>
        <w:t>d</w:t>
      </w:r>
      <w:r w:rsidR="00E267AB" w:rsidRPr="00E267AB">
        <w:rPr>
          <w:lang w:val="fr-FR"/>
        </w:rPr>
        <w:t>’</w:t>
      </w:r>
      <w:r w:rsidR="00BA6D83" w:rsidRPr="00E267AB">
        <w:rPr>
          <w:lang w:val="fr-FR"/>
        </w:rPr>
        <w:t>accompagner</w:t>
      </w:r>
      <w:r w:rsidR="0069019C" w:rsidRPr="00E267AB">
        <w:rPr>
          <w:lang w:val="fr-FR"/>
        </w:rPr>
        <w:t xml:space="preserve"> sa fille</w:t>
      </w:r>
      <w:r w:rsidR="00BA6D83" w:rsidRPr="00E267AB">
        <w:rPr>
          <w:lang w:val="fr-FR"/>
        </w:rPr>
        <w:t xml:space="preserve"> dans </w:t>
      </w:r>
      <w:r w:rsidR="0069019C" w:rsidRPr="00E267AB">
        <w:rPr>
          <w:lang w:val="fr-FR"/>
        </w:rPr>
        <w:t>le processus</w:t>
      </w:r>
      <w:r w:rsidR="00BA6D83" w:rsidRPr="00E267AB">
        <w:rPr>
          <w:lang w:val="fr-FR"/>
        </w:rPr>
        <w:t xml:space="preserve"> </w:t>
      </w:r>
      <w:r w:rsidR="00325DE1" w:rsidRPr="00E267AB">
        <w:rPr>
          <w:lang w:val="fr-FR"/>
        </w:rPr>
        <w:t xml:space="preserve">de rapprochement </w:t>
      </w:r>
      <w:r w:rsidR="0069019C" w:rsidRPr="00E267AB">
        <w:rPr>
          <w:lang w:val="fr-FR"/>
        </w:rPr>
        <w:t>avec le</w:t>
      </w:r>
      <w:r w:rsidR="00325DE1" w:rsidRPr="00E267AB">
        <w:rPr>
          <w:lang w:val="fr-FR"/>
        </w:rPr>
        <w:t xml:space="preserve"> père.</w:t>
      </w:r>
    </w:p>
    <w:p w:rsidR="00CC31A3" w:rsidRPr="00E267AB" w:rsidRDefault="00CF49CE"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65</w:t>
      </w:r>
      <w:r w:rsidRPr="00E267AB">
        <w:rPr>
          <w:lang w:val="fr-FR"/>
        </w:rPr>
        <w:fldChar w:fldCharType="end"/>
      </w:r>
      <w:r w:rsidRPr="00E267AB">
        <w:rPr>
          <w:lang w:val="fr-FR"/>
        </w:rPr>
        <w:t>.  </w:t>
      </w:r>
      <w:r w:rsidR="00C95960" w:rsidRPr="00E267AB">
        <w:rPr>
          <w:lang w:val="fr-FR"/>
        </w:rPr>
        <w:t>Dans l</w:t>
      </w:r>
      <w:r w:rsidR="00E267AB" w:rsidRPr="00E267AB">
        <w:rPr>
          <w:lang w:val="fr-FR"/>
        </w:rPr>
        <w:t>’</w:t>
      </w:r>
      <w:r w:rsidR="00C95960" w:rsidRPr="00E267AB">
        <w:rPr>
          <w:lang w:val="fr-FR"/>
        </w:rPr>
        <w:t>intervalle, p</w:t>
      </w:r>
      <w:r w:rsidR="00CC31A3" w:rsidRPr="00E267AB">
        <w:rPr>
          <w:lang w:val="fr-FR"/>
        </w:rPr>
        <w:t xml:space="preserve">ar une ordonnance du 25 février 2015, la </w:t>
      </w:r>
      <w:r w:rsidR="00C95960" w:rsidRPr="00E267AB">
        <w:rPr>
          <w:lang w:val="fr-FR"/>
        </w:rPr>
        <w:t>C</w:t>
      </w:r>
      <w:r w:rsidR="00CC31A3" w:rsidRPr="00E267AB">
        <w:rPr>
          <w:lang w:val="fr-FR"/>
        </w:rPr>
        <w:t xml:space="preserve">our de cassation </w:t>
      </w:r>
      <w:r w:rsidR="00C95960" w:rsidRPr="00E267AB">
        <w:rPr>
          <w:lang w:val="fr-FR"/>
        </w:rPr>
        <w:t xml:space="preserve">avait </w:t>
      </w:r>
      <w:r w:rsidR="00CC31A3" w:rsidRPr="00E267AB">
        <w:rPr>
          <w:lang w:val="fr-FR"/>
        </w:rPr>
        <w:t>rejet</w:t>
      </w:r>
      <w:r w:rsidR="00C95960" w:rsidRPr="00E267AB">
        <w:rPr>
          <w:lang w:val="fr-FR"/>
        </w:rPr>
        <w:t>é</w:t>
      </w:r>
      <w:r w:rsidR="00CC31A3" w:rsidRPr="00E267AB">
        <w:rPr>
          <w:lang w:val="fr-FR"/>
        </w:rPr>
        <w:t xml:space="preserve"> le pourvoi introduit par N.R</w:t>
      </w:r>
      <w:r w:rsidR="00C95960" w:rsidRPr="00E267AB">
        <w:rPr>
          <w:lang w:val="fr-FR"/>
        </w:rPr>
        <w:t>. contre l</w:t>
      </w:r>
      <w:r w:rsidR="00E267AB" w:rsidRPr="00E267AB">
        <w:rPr>
          <w:lang w:val="fr-FR"/>
        </w:rPr>
        <w:t>’</w:t>
      </w:r>
      <w:r w:rsidR="00C95960" w:rsidRPr="00E267AB">
        <w:rPr>
          <w:lang w:val="fr-FR"/>
        </w:rPr>
        <w:t>arrêt rendu le 25 février 2014 par la cour d</w:t>
      </w:r>
      <w:r w:rsidR="00E267AB" w:rsidRPr="00E267AB">
        <w:rPr>
          <w:lang w:val="fr-FR"/>
        </w:rPr>
        <w:t>’</w:t>
      </w:r>
      <w:r w:rsidR="00C95960" w:rsidRPr="00E267AB">
        <w:rPr>
          <w:lang w:val="fr-FR"/>
        </w:rPr>
        <w:t>appel de Florence</w:t>
      </w:r>
      <w:r w:rsidR="00CC31A3" w:rsidRPr="00E267AB">
        <w:rPr>
          <w:lang w:val="fr-FR"/>
        </w:rPr>
        <w:t>.</w:t>
      </w:r>
    </w:p>
    <w:p w:rsidR="00CC31A3" w:rsidRPr="00E267AB" w:rsidRDefault="00C95960" w:rsidP="00E267AB">
      <w:pPr>
        <w:pStyle w:val="ECHRPara"/>
        <w:rPr>
          <w:lang w:val="fr-FR"/>
        </w:rPr>
      </w:pPr>
      <w:r w:rsidRPr="00E267AB">
        <w:rPr>
          <w:lang w:val="fr-FR"/>
        </w:rPr>
        <w:t>Par ailleurs, à la suite du pourvoi formé par N.R. contre l</w:t>
      </w:r>
      <w:r w:rsidR="00E267AB" w:rsidRPr="00E267AB">
        <w:rPr>
          <w:lang w:val="fr-FR"/>
        </w:rPr>
        <w:t>’</w:t>
      </w:r>
      <w:r w:rsidRPr="00E267AB">
        <w:rPr>
          <w:lang w:val="fr-FR"/>
        </w:rPr>
        <w:t>arrêt prononcé le 12 novembre 2010 par la cour d</w:t>
      </w:r>
      <w:r w:rsidR="00E267AB" w:rsidRPr="00E267AB">
        <w:rPr>
          <w:lang w:val="fr-FR"/>
        </w:rPr>
        <w:t>’</w:t>
      </w:r>
      <w:r w:rsidRPr="00E267AB">
        <w:rPr>
          <w:lang w:val="fr-FR"/>
        </w:rPr>
        <w:t>appel de Florence</w:t>
      </w:r>
      <w:r w:rsidR="00A7457A" w:rsidRPr="00E267AB">
        <w:rPr>
          <w:lang w:val="fr-FR"/>
        </w:rPr>
        <w:t xml:space="preserve"> (voir paragraphe 4</w:t>
      </w:r>
      <w:r w:rsidR="00C818F0" w:rsidRPr="00E267AB">
        <w:rPr>
          <w:lang w:val="fr-FR"/>
        </w:rPr>
        <w:t>1</w:t>
      </w:r>
      <w:r w:rsidR="00A7457A" w:rsidRPr="00E267AB">
        <w:rPr>
          <w:lang w:val="fr-FR"/>
        </w:rPr>
        <w:t>)</w:t>
      </w:r>
      <w:r w:rsidRPr="00E267AB">
        <w:rPr>
          <w:lang w:val="fr-FR"/>
        </w:rPr>
        <w:t>, par une ordonnance du 22 avril 2015, la Cour de cassation avait renvoyé l</w:t>
      </w:r>
      <w:r w:rsidR="00E267AB" w:rsidRPr="00E267AB">
        <w:rPr>
          <w:lang w:val="fr-FR"/>
        </w:rPr>
        <w:t>’</w:t>
      </w:r>
      <w:r w:rsidRPr="00E267AB">
        <w:rPr>
          <w:lang w:val="fr-FR"/>
        </w:rPr>
        <w:t xml:space="preserve">affaire pour un examen en audience publique. Il ressort du dossier que cette procédure est </w:t>
      </w:r>
      <w:r w:rsidR="00E86903" w:rsidRPr="00E267AB">
        <w:rPr>
          <w:lang w:val="fr-FR"/>
        </w:rPr>
        <w:t>actuellement</w:t>
      </w:r>
      <w:r w:rsidRPr="00E267AB">
        <w:rPr>
          <w:lang w:val="fr-FR"/>
        </w:rPr>
        <w:t xml:space="preserve"> pendante.</w:t>
      </w:r>
    </w:p>
    <w:p w:rsidR="00B2535F" w:rsidRPr="00E267AB" w:rsidRDefault="00B2535F" w:rsidP="00E267AB">
      <w:pPr>
        <w:pStyle w:val="ECHRHeading2"/>
        <w:rPr>
          <w:lang w:val="fr-FR"/>
        </w:rPr>
      </w:pPr>
      <w:r w:rsidRPr="00E267AB">
        <w:rPr>
          <w:lang w:val="fr-FR"/>
        </w:rPr>
        <w:t>B.</w:t>
      </w:r>
      <w:r w:rsidR="00B21E1F" w:rsidRPr="00E267AB">
        <w:rPr>
          <w:lang w:val="fr-FR"/>
        </w:rPr>
        <w:t>  </w:t>
      </w:r>
      <w:r w:rsidRPr="00E267AB">
        <w:rPr>
          <w:lang w:val="fr-FR"/>
        </w:rPr>
        <w:t>Procédures pénales à l</w:t>
      </w:r>
      <w:r w:rsidR="00E267AB" w:rsidRPr="00E267AB">
        <w:rPr>
          <w:lang w:val="fr-FR"/>
        </w:rPr>
        <w:t>’</w:t>
      </w:r>
      <w:r w:rsidRPr="00E267AB">
        <w:rPr>
          <w:lang w:val="fr-FR"/>
        </w:rPr>
        <w:t>encontre du requérant</w:t>
      </w:r>
    </w:p>
    <w:p w:rsidR="00B2535F" w:rsidRPr="00E267AB" w:rsidRDefault="00325DE1" w:rsidP="00E267AB">
      <w:pPr>
        <w:pStyle w:val="ECHRPara"/>
        <w:rPr>
          <w:bCs/>
          <w:lang w:val="fr-FR"/>
        </w:rPr>
      </w:pPr>
      <w:r w:rsidRPr="00E267AB">
        <w:rPr>
          <w:bCs/>
          <w:lang w:val="fr-FR"/>
        </w:rPr>
        <w:fldChar w:fldCharType="begin"/>
      </w:r>
      <w:r w:rsidRPr="00E267AB">
        <w:rPr>
          <w:bCs/>
          <w:lang w:val="fr-FR"/>
        </w:rPr>
        <w:instrText xml:space="preserve"> SEQ level0 \*arabic </w:instrText>
      </w:r>
      <w:r w:rsidRPr="00E267AB">
        <w:rPr>
          <w:bCs/>
          <w:lang w:val="fr-FR"/>
        </w:rPr>
        <w:fldChar w:fldCharType="separate"/>
      </w:r>
      <w:r w:rsidR="00E267AB" w:rsidRPr="00E267AB">
        <w:rPr>
          <w:bCs/>
          <w:noProof/>
          <w:lang w:val="fr-FR"/>
        </w:rPr>
        <w:t>66</w:t>
      </w:r>
      <w:r w:rsidRPr="00E267AB">
        <w:rPr>
          <w:bCs/>
          <w:lang w:val="fr-FR"/>
        </w:rPr>
        <w:fldChar w:fldCharType="end"/>
      </w:r>
      <w:r w:rsidRPr="00E267AB">
        <w:rPr>
          <w:bCs/>
          <w:lang w:val="fr-FR"/>
        </w:rPr>
        <w:t>.  </w:t>
      </w:r>
      <w:r w:rsidR="000C42AF" w:rsidRPr="00E267AB">
        <w:rPr>
          <w:bCs/>
          <w:lang w:val="fr-FR"/>
        </w:rPr>
        <w:t>Comme indiquée ci-dessus, l</w:t>
      </w:r>
      <w:r w:rsidR="00B2535F" w:rsidRPr="00E267AB">
        <w:rPr>
          <w:bCs/>
          <w:lang w:val="fr-FR"/>
        </w:rPr>
        <w:t>e 3 juillet 2007</w:t>
      </w:r>
      <w:r w:rsidR="00D06087" w:rsidRPr="00E267AB">
        <w:rPr>
          <w:bCs/>
          <w:lang w:val="fr-FR"/>
        </w:rPr>
        <w:t>,</w:t>
      </w:r>
      <w:r w:rsidR="00B2535F" w:rsidRPr="00E267AB">
        <w:rPr>
          <w:bCs/>
          <w:lang w:val="fr-FR"/>
        </w:rPr>
        <w:t xml:space="preserve"> N.R. </w:t>
      </w:r>
      <w:r w:rsidR="00552B1E" w:rsidRPr="00E267AB">
        <w:rPr>
          <w:bCs/>
          <w:lang w:val="fr-FR"/>
        </w:rPr>
        <w:t>porta à l</w:t>
      </w:r>
      <w:r w:rsidR="00E267AB" w:rsidRPr="00E267AB">
        <w:rPr>
          <w:bCs/>
          <w:lang w:val="fr-FR"/>
        </w:rPr>
        <w:t>’</w:t>
      </w:r>
      <w:r w:rsidR="00552B1E" w:rsidRPr="00E267AB">
        <w:rPr>
          <w:bCs/>
          <w:lang w:val="fr-FR"/>
        </w:rPr>
        <w:t>encontre du</w:t>
      </w:r>
      <w:r w:rsidR="00B2535F" w:rsidRPr="00E267AB">
        <w:rPr>
          <w:bCs/>
          <w:lang w:val="fr-FR"/>
        </w:rPr>
        <w:t xml:space="preserve"> requérant </w:t>
      </w:r>
      <w:r w:rsidR="00552B1E" w:rsidRPr="00E267AB">
        <w:rPr>
          <w:bCs/>
          <w:lang w:val="fr-FR"/>
        </w:rPr>
        <w:t>des accusations de</w:t>
      </w:r>
      <w:r w:rsidR="00B2535F" w:rsidRPr="00E267AB">
        <w:rPr>
          <w:bCs/>
          <w:lang w:val="fr-FR"/>
        </w:rPr>
        <w:t xml:space="preserve"> violence</w:t>
      </w:r>
      <w:r w:rsidR="00D06087" w:rsidRPr="00E267AB">
        <w:rPr>
          <w:bCs/>
          <w:lang w:val="fr-FR"/>
        </w:rPr>
        <w:t>s</w:t>
      </w:r>
      <w:r w:rsidR="00B2535F" w:rsidRPr="00E267AB">
        <w:rPr>
          <w:bCs/>
          <w:lang w:val="fr-FR"/>
        </w:rPr>
        <w:t xml:space="preserve"> sexuelle</w:t>
      </w:r>
      <w:r w:rsidR="00D06087" w:rsidRPr="00E267AB">
        <w:rPr>
          <w:bCs/>
          <w:lang w:val="fr-FR"/>
        </w:rPr>
        <w:t>s</w:t>
      </w:r>
      <w:r w:rsidR="00B2535F" w:rsidRPr="00E267AB">
        <w:rPr>
          <w:bCs/>
          <w:lang w:val="fr-FR"/>
        </w:rPr>
        <w:t xml:space="preserve">, maltraitance et </w:t>
      </w:r>
      <w:r w:rsidR="00552B1E" w:rsidRPr="00E267AB">
        <w:rPr>
          <w:bCs/>
          <w:lang w:val="fr-FR"/>
        </w:rPr>
        <w:t>enlèvement</w:t>
      </w:r>
      <w:r w:rsidR="00B2535F" w:rsidRPr="00E267AB">
        <w:rPr>
          <w:bCs/>
          <w:lang w:val="fr-FR"/>
        </w:rPr>
        <w:t>.</w:t>
      </w:r>
    </w:p>
    <w:p w:rsidR="009D504A" w:rsidRPr="00E267AB" w:rsidRDefault="00325DE1" w:rsidP="00E267AB">
      <w:pPr>
        <w:pStyle w:val="ECHRPara"/>
        <w:rPr>
          <w:bCs/>
          <w:lang w:val="fr-FR"/>
        </w:rPr>
      </w:pPr>
      <w:r w:rsidRPr="00E267AB">
        <w:rPr>
          <w:bCs/>
          <w:lang w:val="fr-FR"/>
        </w:rPr>
        <w:fldChar w:fldCharType="begin"/>
      </w:r>
      <w:r w:rsidRPr="00E267AB">
        <w:rPr>
          <w:bCs/>
          <w:lang w:val="fr-FR"/>
        </w:rPr>
        <w:instrText xml:space="preserve"> SEQ level0 \*arabic </w:instrText>
      </w:r>
      <w:r w:rsidRPr="00E267AB">
        <w:rPr>
          <w:bCs/>
          <w:lang w:val="fr-FR"/>
        </w:rPr>
        <w:fldChar w:fldCharType="separate"/>
      </w:r>
      <w:r w:rsidR="00E267AB" w:rsidRPr="00E267AB">
        <w:rPr>
          <w:bCs/>
          <w:noProof/>
          <w:lang w:val="fr-FR"/>
        </w:rPr>
        <w:t>67</w:t>
      </w:r>
      <w:r w:rsidRPr="00E267AB">
        <w:rPr>
          <w:bCs/>
          <w:lang w:val="fr-FR"/>
        </w:rPr>
        <w:fldChar w:fldCharType="end"/>
      </w:r>
      <w:r w:rsidRPr="00E267AB">
        <w:rPr>
          <w:bCs/>
          <w:lang w:val="fr-FR"/>
        </w:rPr>
        <w:t>.  </w:t>
      </w:r>
      <w:r w:rsidR="00B2535F" w:rsidRPr="00E267AB">
        <w:rPr>
          <w:bCs/>
          <w:lang w:val="fr-FR"/>
        </w:rPr>
        <w:t>Le 4 mai 2012, le tribunal acquitta le requérant.</w:t>
      </w:r>
    </w:p>
    <w:p w:rsidR="009D504A" w:rsidRPr="00E267AB" w:rsidRDefault="00325DE1" w:rsidP="00E267AB">
      <w:pPr>
        <w:pStyle w:val="ECHRPara"/>
        <w:rPr>
          <w:bCs/>
          <w:lang w:val="fr-FR"/>
        </w:rPr>
      </w:pPr>
      <w:r w:rsidRPr="00E267AB">
        <w:rPr>
          <w:bCs/>
          <w:lang w:val="fr-FR"/>
        </w:rPr>
        <w:fldChar w:fldCharType="begin"/>
      </w:r>
      <w:r w:rsidRPr="00E267AB">
        <w:rPr>
          <w:bCs/>
          <w:lang w:val="fr-FR"/>
        </w:rPr>
        <w:instrText xml:space="preserve"> SEQ level0 \*arabic </w:instrText>
      </w:r>
      <w:r w:rsidRPr="00E267AB">
        <w:rPr>
          <w:bCs/>
          <w:lang w:val="fr-FR"/>
        </w:rPr>
        <w:fldChar w:fldCharType="separate"/>
      </w:r>
      <w:r w:rsidR="00E267AB" w:rsidRPr="00E267AB">
        <w:rPr>
          <w:bCs/>
          <w:noProof/>
          <w:lang w:val="fr-FR"/>
        </w:rPr>
        <w:t>68</w:t>
      </w:r>
      <w:r w:rsidRPr="00E267AB">
        <w:rPr>
          <w:bCs/>
          <w:lang w:val="fr-FR"/>
        </w:rPr>
        <w:fldChar w:fldCharType="end"/>
      </w:r>
      <w:r w:rsidRPr="00E267AB">
        <w:rPr>
          <w:bCs/>
          <w:lang w:val="fr-FR"/>
        </w:rPr>
        <w:t>.  </w:t>
      </w:r>
      <w:r w:rsidR="009D504A" w:rsidRPr="00E267AB">
        <w:rPr>
          <w:bCs/>
          <w:lang w:val="fr-FR"/>
        </w:rPr>
        <w:t>N.R. fit appel de ce jugement. Par un arrêt du 20 juillet 2015, la</w:t>
      </w:r>
      <w:r w:rsidR="00152E75" w:rsidRPr="00E267AB">
        <w:rPr>
          <w:bCs/>
          <w:lang w:val="fr-FR"/>
        </w:rPr>
        <w:t xml:space="preserve"> cour d</w:t>
      </w:r>
      <w:r w:rsidR="00E267AB" w:rsidRPr="00E267AB">
        <w:rPr>
          <w:bCs/>
          <w:lang w:val="fr-FR"/>
        </w:rPr>
        <w:t>’</w:t>
      </w:r>
      <w:r w:rsidR="00152E75" w:rsidRPr="00E267AB">
        <w:rPr>
          <w:bCs/>
          <w:lang w:val="fr-FR"/>
        </w:rPr>
        <w:t xml:space="preserve">appel de </w:t>
      </w:r>
      <w:r w:rsidR="00801B50" w:rsidRPr="00E267AB">
        <w:rPr>
          <w:bCs/>
          <w:lang w:val="fr-FR"/>
        </w:rPr>
        <w:t>Florence rejeta l</w:t>
      </w:r>
      <w:r w:rsidR="00CB5F8E" w:rsidRPr="00E267AB">
        <w:rPr>
          <w:bCs/>
          <w:lang w:val="fr-FR"/>
        </w:rPr>
        <w:t>e recours</w:t>
      </w:r>
      <w:r w:rsidR="00801B50" w:rsidRPr="00E267AB">
        <w:rPr>
          <w:bCs/>
          <w:lang w:val="fr-FR"/>
        </w:rPr>
        <w:t xml:space="preserve"> de N.R</w:t>
      </w:r>
      <w:r w:rsidR="00FC4BD8" w:rsidRPr="00E267AB">
        <w:rPr>
          <w:bCs/>
          <w:lang w:val="fr-FR"/>
        </w:rPr>
        <w:t>.</w:t>
      </w:r>
      <w:r w:rsidR="00801B50" w:rsidRPr="00E267AB">
        <w:rPr>
          <w:bCs/>
          <w:lang w:val="fr-FR"/>
        </w:rPr>
        <w:t xml:space="preserve"> </w:t>
      </w:r>
      <w:r w:rsidR="00D06087" w:rsidRPr="00E267AB">
        <w:rPr>
          <w:bCs/>
          <w:lang w:val="fr-FR"/>
        </w:rPr>
        <w:t xml:space="preserve">comme </w:t>
      </w:r>
      <w:r w:rsidR="00801B50" w:rsidRPr="00E267AB">
        <w:rPr>
          <w:bCs/>
          <w:lang w:val="fr-FR"/>
        </w:rPr>
        <w:t>étant manifestement mal fondé</w:t>
      </w:r>
      <w:r w:rsidR="00D06087" w:rsidRPr="00E267AB">
        <w:rPr>
          <w:bCs/>
          <w:lang w:val="fr-FR"/>
        </w:rPr>
        <w:t>,</w:t>
      </w:r>
      <w:r w:rsidR="00801B50" w:rsidRPr="00E267AB">
        <w:rPr>
          <w:bCs/>
          <w:lang w:val="fr-FR"/>
        </w:rPr>
        <w:t xml:space="preserve"> et </w:t>
      </w:r>
      <w:r w:rsidR="00D06087" w:rsidRPr="00E267AB">
        <w:rPr>
          <w:bCs/>
          <w:lang w:val="fr-FR"/>
        </w:rPr>
        <w:t xml:space="preserve">elle </w:t>
      </w:r>
      <w:r w:rsidR="00152E75" w:rsidRPr="00E267AB">
        <w:rPr>
          <w:bCs/>
          <w:lang w:val="fr-FR"/>
        </w:rPr>
        <w:t>acquitta</w:t>
      </w:r>
      <w:r w:rsidR="00801B50" w:rsidRPr="00E267AB">
        <w:rPr>
          <w:bCs/>
          <w:lang w:val="fr-FR"/>
        </w:rPr>
        <w:t xml:space="preserve"> le requérant.</w:t>
      </w:r>
    </w:p>
    <w:p w:rsidR="00B21E1F" w:rsidRPr="00E267AB" w:rsidRDefault="00325DE1" w:rsidP="00E267AB">
      <w:pPr>
        <w:pStyle w:val="ECHRPara"/>
        <w:rPr>
          <w:bCs/>
          <w:lang w:val="fr-FR"/>
        </w:rPr>
      </w:pPr>
      <w:r w:rsidRPr="00E267AB">
        <w:rPr>
          <w:bCs/>
          <w:lang w:val="fr-FR"/>
        </w:rPr>
        <w:lastRenderedPageBreak/>
        <w:fldChar w:fldCharType="begin"/>
      </w:r>
      <w:r w:rsidRPr="00E267AB">
        <w:rPr>
          <w:bCs/>
          <w:lang w:val="fr-FR"/>
        </w:rPr>
        <w:instrText xml:space="preserve"> SEQ level0 \*arabic </w:instrText>
      </w:r>
      <w:r w:rsidRPr="00E267AB">
        <w:rPr>
          <w:bCs/>
          <w:lang w:val="fr-FR"/>
        </w:rPr>
        <w:fldChar w:fldCharType="separate"/>
      </w:r>
      <w:r w:rsidR="00E267AB" w:rsidRPr="00E267AB">
        <w:rPr>
          <w:bCs/>
          <w:noProof/>
          <w:lang w:val="fr-FR"/>
        </w:rPr>
        <w:t>69</w:t>
      </w:r>
      <w:r w:rsidRPr="00E267AB">
        <w:rPr>
          <w:bCs/>
          <w:lang w:val="fr-FR"/>
        </w:rPr>
        <w:fldChar w:fldCharType="end"/>
      </w:r>
      <w:r w:rsidRPr="00E267AB">
        <w:rPr>
          <w:bCs/>
          <w:lang w:val="fr-FR"/>
        </w:rPr>
        <w:t>.  </w:t>
      </w:r>
      <w:r w:rsidR="00A44D3E" w:rsidRPr="00E267AB">
        <w:rPr>
          <w:bCs/>
          <w:lang w:val="fr-FR"/>
        </w:rPr>
        <w:t>Dans l</w:t>
      </w:r>
      <w:r w:rsidR="00E267AB" w:rsidRPr="00E267AB">
        <w:rPr>
          <w:bCs/>
          <w:lang w:val="fr-FR"/>
        </w:rPr>
        <w:t>’</w:t>
      </w:r>
      <w:r w:rsidR="00A44D3E" w:rsidRPr="00E267AB">
        <w:rPr>
          <w:bCs/>
          <w:lang w:val="fr-FR"/>
        </w:rPr>
        <w:t>intervalle, l</w:t>
      </w:r>
      <w:r w:rsidR="00B2535F" w:rsidRPr="00E267AB">
        <w:rPr>
          <w:bCs/>
          <w:lang w:val="fr-FR"/>
        </w:rPr>
        <w:t xml:space="preserve">e </w:t>
      </w:r>
      <w:r w:rsidR="008024AE" w:rsidRPr="00E267AB">
        <w:rPr>
          <w:bCs/>
          <w:lang w:val="fr-FR"/>
        </w:rPr>
        <w:t>2 avril</w:t>
      </w:r>
      <w:r w:rsidR="00B2535F" w:rsidRPr="00E267AB">
        <w:rPr>
          <w:bCs/>
          <w:lang w:val="fr-FR"/>
        </w:rPr>
        <w:t xml:space="preserve"> 2009, N.R. </w:t>
      </w:r>
      <w:r w:rsidR="00A44D3E" w:rsidRPr="00E267AB">
        <w:rPr>
          <w:bCs/>
          <w:lang w:val="fr-FR"/>
        </w:rPr>
        <w:t xml:space="preserve">avait </w:t>
      </w:r>
      <w:r w:rsidR="00B2535F" w:rsidRPr="00E267AB">
        <w:rPr>
          <w:bCs/>
          <w:lang w:val="fr-FR"/>
        </w:rPr>
        <w:t>dépos</w:t>
      </w:r>
      <w:r w:rsidR="00A44D3E" w:rsidRPr="00E267AB">
        <w:rPr>
          <w:bCs/>
          <w:lang w:val="fr-FR"/>
        </w:rPr>
        <w:t>é</w:t>
      </w:r>
      <w:r w:rsidR="00B2535F" w:rsidRPr="00E267AB">
        <w:rPr>
          <w:bCs/>
          <w:lang w:val="fr-FR"/>
        </w:rPr>
        <w:t xml:space="preserve"> une plainte pour attouchements sexuels sur sa fille.</w:t>
      </w:r>
    </w:p>
    <w:p w:rsidR="00B2535F" w:rsidRPr="00E267AB" w:rsidRDefault="00325DE1" w:rsidP="00E267AB">
      <w:pPr>
        <w:pStyle w:val="ECHRPara"/>
        <w:rPr>
          <w:bCs/>
          <w:lang w:val="fr-FR"/>
        </w:rPr>
      </w:pPr>
      <w:r w:rsidRPr="00E267AB">
        <w:rPr>
          <w:bCs/>
          <w:lang w:val="fr-FR"/>
        </w:rPr>
        <w:fldChar w:fldCharType="begin"/>
      </w:r>
      <w:r w:rsidRPr="00E267AB">
        <w:rPr>
          <w:bCs/>
          <w:lang w:val="fr-FR"/>
        </w:rPr>
        <w:instrText xml:space="preserve"> SEQ level0 \*arabic </w:instrText>
      </w:r>
      <w:r w:rsidRPr="00E267AB">
        <w:rPr>
          <w:bCs/>
          <w:lang w:val="fr-FR"/>
        </w:rPr>
        <w:fldChar w:fldCharType="separate"/>
      </w:r>
      <w:r w:rsidR="00E267AB" w:rsidRPr="00E267AB">
        <w:rPr>
          <w:bCs/>
          <w:noProof/>
          <w:lang w:val="fr-FR"/>
        </w:rPr>
        <w:t>70</w:t>
      </w:r>
      <w:r w:rsidRPr="00E267AB">
        <w:rPr>
          <w:bCs/>
          <w:lang w:val="fr-FR"/>
        </w:rPr>
        <w:fldChar w:fldCharType="end"/>
      </w:r>
      <w:r w:rsidRPr="00E267AB">
        <w:rPr>
          <w:bCs/>
          <w:lang w:val="fr-FR"/>
        </w:rPr>
        <w:t>.  </w:t>
      </w:r>
      <w:r w:rsidR="00B2535F" w:rsidRPr="00E267AB">
        <w:rPr>
          <w:bCs/>
          <w:lang w:val="fr-FR"/>
        </w:rPr>
        <w:t xml:space="preserve">Le 23 février 2011, le juge </w:t>
      </w:r>
      <w:r w:rsidR="00D06087" w:rsidRPr="00E267AB">
        <w:rPr>
          <w:bCs/>
          <w:lang w:val="fr-FR"/>
        </w:rPr>
        <w:t>chargé des</w:t>
      </w:r>
      <w:r w:rsidR="00B2535F" w:rsidRPr="00E267AB">
        <w:rPr>
          <w:bCs/>
          <w:lang w:val="fr-FR"/>
        </w:rPr>
        <w:t xml:space="preserve"> investigations préliminaires </w:t>
      </w:r>
      <w:r w:rsidR="00A44D3E" w:rsidRPr="00E267AB">
        <w:rPr>
          <w:bCs/>
          <w:lang w:val="fr-FR"/>
        </w:rPr>
        <w:t xml:space="preserve">avait </w:t>
      </w:r>
      <w:r w:rsidR="00B2535F" w:rsidRPr="00E267AB">
        <w:rPr>
          <w:bCs/>
          <w:lang w:val="fr-FR"/>
        </w:rPr>
        <w:t>class</w:t>
      </w:r>
      <w:r w:rsidR="00A44D3E" w:rsidRPr="00E267AB">
        <w:rPr>
          <w:bCs/>
          <w:lang w:val="fr-FR"/>
        </w:rPr>
        <w:t>é</w:t>
      </w:r>
      <w:r w:rsidR="00B2535F" w:rsidRPr="00E267AB">
        <w:rPr>
          <w:bCs/>
          <w:lang w:val="fr-FR"/>
        </w:rPr>
        <w:t xml:space="preserve"> la plainte sans suite.</w:t>
      </w:r>
    </w:p>
    <w:p w:rsidR="009D504A" w:rsidRPr="00E267AB" w:rsidRDefault="00801B50" w:rsidP="00E267AB">
      <w:pPr>
        <w:pStyle w:val="ECHRHeading2"/>
        <w:rPr>
          <w:lang w:val="fr-FR"/>
        </w:rPr>
      </w:pPr>
      <w:r w:rsidRPr="00E267AB">
        <w:rPr>
          <w:lang w:val="fr-FR"/>
        </w:rPr>
        <w:t>C.</w:t>
      </w:r>
      <w:r w:rsidR="00B21E1F" w:rsidRPr="00E267AB">
        <w:rPr>
          <w:lang w:val="fr-FR"/>
        </w:rPr>
        <w:t>  </w:t>
      </w:r>
      <w:r w:rsidRPr="00E267AB">
        <w:rPr>
          <w:lang w:val="fr-FR"/>
        </w:rPr>
        <w:t>Procédure pénale à l</w:t>
      </w:r>
      <w:r w:rsidR="00E267AB" w:rsidRPr="00E267AB">
        <w:rPr>
          <w:lang w:val="fr-FR"/>
        </w:rPr>
        <w:t>’</w:t>
      </w:r>
      <w:r w:rsidRPr="00E267AB">
        <w:rPr>
          <w:lang w:val="fr-FR"/>
        </w:rPr>
        <w:t>encontre de N.R</w:t>
      </w:r>
      <w:r w:rsidR="00E86903" w:rsidRPr="00E267AB">
        <w:rPr>
          <w:lang w:val="fr-FR"/>
        </w:rPr>
        <w:t>.</w:t>
      </w:r>
    </w:p>
    <w:p w:rsidR="00B21E1F" w:rsidRPr="00E267AB" w:rsidRDefault="00325DE1"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71</w:t>
      </w:r>
      <w:r w:rsidRPr="00E267AB">
        <w:rPr>
          <w:lang w:val="fr-FR"/>
        </w:rPr>
        <w:fldChar w:fldCharType="end"/>
      </w:r>
      <w:r w:rsidRPr="00E267AB">
        <w:rPr>
          <w:lang w:val="fr-FR"/>
        </w:rPr>
        <w:t>.  </w:t>
      </w:r>
      <w:r w:rsidR="00E03723" w:rsidRPr="00E267AB">
        <w:rPr>
          <w:lang w:val="fr-FR"/>
        </w:rPr>
        <w:t>Il ressort du dossier qu</w:t>
      </w:r>
      <w:r w:rsidR="00E86903" w:rsidRPr="00E267AB">
        <w:rPr>
          <w:lang w:val="fr-FR"/>
        </w:rPr>
        <w:t xml:space="preserve">e, </w:t>
      </w:r>
      <w:r w:rsidR="002C1B53" w:rsidRPr="00E267AB">
        <w:rPr>
          <w:lang w:val="fr-FR"/>
        </w:rPr>
        <w:t xml:space="preserve">suite à une plainte déposée par le requérant en 2013 et </w:t>
      </w:r>
      <w:r w:rsidR="00E86903" w:rsidRPr="00E267AB">
        <w:rPr>
          <w:lang w:val="fr-FR"/>
        </w:rPr>
        <w:t>d</w:t>
      </w:r>
      <w:r w:rsidR="00E267AB" w:rsidRPr="00E267AB">
        <w:rPr>
          <w:lang w:val="fr-FR"/>
        </w:rPr>
        <w:t>’</w:t>
      </w:r>
      <w:r w:rsidR="00E86903" w:rsidRPr="00E267AB">
        <w:rPr>
          <w:lang w:val="fr-FR"/>
        </w:rPr>
        <w:t xml:space="preserve">après </w:t>
      </w:r>
      <w:r w:rsidR="00801B50" w:rsidRPr="00E267AB">
        <w:rPr>
          <w:lang w:val="fr-FR"/>
        </w:rPr>
        <w:t>une enquête approfondie</w:t>
      </w:r>
      <w:r w:rsidR="00E86903" w:rsidRPr="00E267AB">
        <w:rPr>
          <w:lang w:val="fr-FR"/>
        </w:rPr>
        <w:t xml:space="preserve">, </w:t>
      </w:r>
      <w:r w:rsidRPr="00E267AB">
        <w:rPr>
          <w:lang w:val="fr-FR"/>
        </w:rPr>
        <w:t>N.R.</w:t>
      </w:r>
      <w:r w:rsidR="00801B50" w:rsidRPr="00E267AB">
        <w:rPr>
          <w:lang w:val="fr-FR"/>
        </w:rPr>
        <w:t xml:space="preserve"> avait </w:t>
      </w:r>
      <w:r w:rsidR="00E86903" w:rsidRPr="00E267AB">
        <w:rPr>
          <w:lang w:val="fr-FR"/>
        </w:rPr>
        <w:t>sérieusement entravé</w:t>
      </w:r>
      <w:r w:rsidR="00801B50" w:rsidRPr="00E267AB">
        <w:rPr>
          <w:lang w:val="fr-FR"/>
        </w:rPr>
        <w:t xml:space="preserve"> le développement psychologique de </w:t>
      </w:r>
      <w:r w:rsidR="00E86903" w:rsidRPr="00E267AB">
        <w:rPr>
          <w:lang w:val="fr-FR"/>
        </w:rPr>
        <w:t>sa fille</w:t>
      </w:r>
      <w:r w:rsidRPr="00E267AB">
        <w:rPr>
          <w:lang w:val="fr-FR"/>
        </w:rPr>
        <w:t xml:space="preserve"> et </w:t>
      </w:r>
      <w:r w:rsidR="00D45500" w:rsidRPr="00E267AB">
        <w:rPr>
          <w:lang w:val="fr-FR"/>
        </w:rPr>
        <w:t>affecté</w:t>
      </w:r>
      <w:r w:rsidR="00E86903" w:rsidRPr="00E267AB">
        <w:rPr>
          <w:lang w:val="fr-FR"/>
        </w:rPr>
        <w:t xml:space="preserve"> l</w:t>
      </w:r>
      <w:r w:rsidRPr="00E267AB">
        <w:rPr>
          <w:lang w:val="fr-FR"/>
        </w:rPr>
        <w:t xml:space="preserve">a relation </w:t>
      </w:r>
      <w:r w:rsidR="00E86903" w:rsidRPr="00E267AB">
        <w:rPr>
          <w:lang w:val="fr-FR"/>
        </w:rPr>
        <w:t xml:space="preserve">de celle-ci </w:t>
      </w:r>
      <w:r w:rsidRPr="00E267AB">
        <w:rPr>
          <w:lang w:val="fr-FR"/>
        </w:rPr>
        <w:t xml:space="preserve">avec </w:t>
      </w:r>
      <w:r w:rsidR="00E86903" w:rsidRPr="00E267AB">
        <w:rPr>
          <w:lang w:val="fr-FR"/>
        </w:rPr>
        <w:t>son</w:t>
      </w:r>
      <w:r w:rsidRPr="00E267AB">
        <w:rPr>
          <w:lang w:val="fr-FR"/>
        </w:rPr>
        <w:t xml:space="preserve"> père.</w:t>
      </w:r>
    </w:p>
    <w:p w:rsidR="00806587" w:rsidRPr="00E267AB" w:rsidRDefault="00325DE1" w:rsidP="00E267AB">
      <w:pPr>
        <w:pStyle w:val="ECHRPara"/>
        <w:rPr>
          <w:lang w:val="fr-FR"/>
        </w:rPr>
      </w:pPr>
      <w:r w:rsidRPr="00E267AB">
        <w:rPr>
          <w:lang w:val="fr-FR"/>
        </w:rPr>
        <w:t>Pour ces raisons</w:t>
      </w:r>
      <w:r w:rsidR="00E86903" w:rsidRPr="00E267AB">
        <w:rPr>
          <w:lang w:val="fr-FR"/>
        </w:rPr>
        <w:t>,</w:t>
      </w:r>
      <w:r w:rsidRPr="00E267AB">
        <w:rPr>
          <w:lang w:val="fr-FR"/>
        </w:rPr>
        <w:t xml:space="preserve"> N.R</w:t>
      </w:r>
      <w:r w:rsidR="00E03723" w:rsidRPr="00E267AB">
        <w:rPr>
          <w:lang w:val="fr-FR"/>
        </w:rPr>
        <w:t>.</w:t>
      </w:r>
      <w:r w:rsidRPr="00E267AB">
        <w:rPr>
          <w:lang w:val="fr-FR"/>
        </w:rPr>
        <w:t xml:space="preserve"> fut</w:t>
      </w:r>
      <w:r w:rsidR="00801B50" w:rsidRPr="00E267AB">
        <w:rPr>
          <w:lang w:val="fr-FR"/>
        </w:rPr>
        <w:t xml:space="preserve"> renvoyée en jugement pour les délits de </w:t>
      </w:r>
      <w:r w:rsidR="00806587" w:rsidRPr="00E267AB">
        <w:rPr>
          <w:lang w:val="fr-FR"/>
        </w:rPr>
        <w:t>non</w:t>
      </w:r>
      <w:r w:rsidR="00A44D3E" w:rsidRPr="00E267AB">
        <w:rPr>
          <w:lang w:val="fr-FR"/>
        </w:rPr>
        <w:noBreakHyphen/>
      </w:r>
      <w:r w:rsidR="00806587" w:rsidRPr="00E267AB">
        <w:rPr>
          <w:lang w:val="fr-FR"/>
        </w:rPr>
        <w:t>respect d</w:t>
      </w:r>
      <w:r w:rsidR="00E267AB" w:rsidRPr="00E267AB">
        <w:rPr>
          <w:lang w:val="fr-FR"/>
        </w:rPr>
        <w:t>’</w:t>
      </w:r>
      <w:r w:rsidR="00806587" w:rsidRPr="00E267AB">
        <w:rPr>
          <w:lang w:val="fr-FR"/>
        </w:rPr>
        <w:t>une décision judiciaire (article 388 du code pénal)</w:t>
      </w:r>
      <w:r w:rsidR="00E86903" w:rsidRPr="00E267AB">
        <w:rPr>
          <w:lang w:val="fr-FR"/>
        </w:rPr>
        <w:t xml:space="preserve"> et de</w:t>
      </w:r>
      <w:r w:rsidR="00806587" w:rsidRPr="00E267AB">
        <w:rPr>
          <w:lang w:val="fr-FR"/>
        </w:rPr>
        <w:t xml:space="preserve"> </w:t>
      </w:r>
      <w:r w:rsidR="00E86903" w:rsidRPr="00E267AB">
        <w:rPr>
          <w:lang w:val="fr-FR"/>
        </w:rPr>
        <w:t>maltraitance</w:t>
      </w:r>
      <w:r w:rsidR="007A5418" w:rsidRPr="00E267AB">
        <w:rPr>
          <w:lang w:val="fr-FR"/>
        </w:rPr>
        <w:t xml:space="preserve"> familiale</w:t>
      </w:r>
      <w:r w:rsidR="00806587" w:rsidRPr="00E267AB">
        <w:rPr>
          <w:lang w:val="fr-FR"/>
        </w:rPr>
        <w:t xml:space="preserve"> ou </w:t>
      </w:r>
      <w:r w:rsidR="007A5418" w:rsidRPr="00E267AB">
        <w:rPr>
          <w:lang w:val="fr-FR"/>
        </w:rPr>
        <w:t xml:space="preserve">sur </w:t>
      </w:r>
      <w:r w:rsidR="00806587" w:rsidRPr="00E267AB">
        <w:rPr>
          <w:lang w:val="fr-FR"/>
        </w:rPr>
        <w:t xml:space="preserve">mineur (article 572 § 1 du code </w:t>
      </w:r>
      <w:r w:rsidR="00E03723" w:rsidRPr="00E267AB">
        <w:rPr>
          <w:lang w:val="fr-FR"/>
        </w:rPr>
        <w:t>pénal</w:t>
      </w:r>
      <w:r w:rsidR="00806587" w:rsidRPr="00E267AB">
        <w:rPr>
          <w:lang w:val="fr-FR"/>
        </w:rPr>
        <w:t>).</w:t>
      </w:r>
    </w:p>
    <w:p w:rsidR="009D504A" w:rsidRPr="00E267AB" w:rsidRDefault="00806587"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72</w:t>
      </w:r>
      <w:r w:rsidRPr="00E267AB">
        <w:rPr>
          <w:lang w:val="fr-FR"/>
        </w:rPr>
        <w:fldChar w:fldCharType="end"/>
      </w:r>
      <w:r w:rsidRPr="00E267AB">
        <w:rPr>
          <w:lang w:val="fr-FR"/>
        </w:rPr>
        <w:t>.  La</w:t>
      </w:r>
      <w:r w:rsidR="00801B50" w:rsidRPr="00E267AB">
        <w:rPr>
          <w:lang w:val="fr-FR"/>
        </w:rPr>
        <w:t xml:space="preserve"> première </w:t>
      </w:r>
      <w:r w:rsidR="00544DDD" w:rsidRPr="00E267AB">
        <w:rPr>
          <w:lang w:val="fr-FR"/>
        </w:rPr>
        <w:t>audience</w:t>
      </w:r>
      <w:r w:rsidR="00801B50" w:rsidRPr="00E267AB">
        <w:rPr>
          <w:lang w:val="fr-FR"/>
        </w:rPr>
        <w:t xml:space="preserve"> </w:t>
      </w:r>
      <w:r w:rsidR="00E86903" w:rsidRPr="00E267AB">
        <w:rPr>
          <w:lang w:val="fr-FR"/>
        </w:rPr>
        <w:t>eut</w:t>
      </w:r>
      <w:r w:rsidR="00801B50" w:rsidRPr="00E267AB">
        <w:rPr>
          <w:lang w:val="fr-FR"/>
        </w:rPr>
        <w:t xml:space="preserve"> lieu le 6 juillet 2015. </w:t>
      </w:r>
      <w:r w:rsidR="00325DE1" w:rsidRPr="00E267AB">
        <w:rPr>
          <w:lang w:val="fr-FR"/>
        </w:rPr>
        <w:t xml:space="preserve">La procédure est </w:t>
      </w:r>
      <w:r w:rsidR="00E86903" w:rsidRPr="00E267AB">
        <w:rPr>
          <w:lang w:val="fr-FR"/>
        </w:rPr>
        <w:t>actuellement</w:t>
      </w:r>
      <w:r w:rsidR="00325DE1" w:rsidRPr="00E267AB">
        <w:rPr>
          <w:lang w:val="fr-FR"/>
        </w:rPr>
        <w:t xml:space="preserve"> pendante</w:t>
      </w:r>
      <w:r w:rsidRPr="00E267AB">
        <w:rPr>
          <w:lang w:val="fr-FR"/>
        </w:rPr>
        <w:t>.</w:t>
      </w:r>
    </w:p>
    <w:p w:rsidR="00C1093D" w:rsidRPr="00E267AB" w:rsidRDefault="00C1093D" w:rsidP="00E267AB">
      <w:pPr>
        <w:pStyle w:val="ECHRHeading1"/>
        <w:rPr>
          <w:lang w:val="fr-FR"/>
        </w:rPr>
      </w:pPr>
      <w:r w:rsidRPr="00E267AB">
        <w:rPr>
          <w:lang w:val="fr-FR"/>
        </w:rPr>
        <w:t xml:space="preserve">II.  LE DROIT </w:t>
      </w:r>
      <w:r w:rsidR="00E8543F" w:rsidRPr="00E267AB">
        <w:rPr>
          <w:lang w:val="fr-FR"/>
        </w:rPr>
        <w:t>INTERNE PERTINENT</w:t>
      </w:r>
    </w:p>
    <w:p w:rsidR="00E8543F" w:rsidRPr="00E267AB" w:rsidRDefault="00E8543F"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73</w:t>
      </w:r>
      <w:r w:rsidRPr="00E267AB">
        <w:rPr>
          <w:lang w:val="fr-FR"/>
        </w:rPr>
        <w:fldChar w:fldCharType="end"/>
      </w:r>
      <w:r w:rsidRPr="00E267AB">
        <w:rPr>
          <w:lang w:val="fr-FR"/>
        </w:rPr>
        <w:t>.  Une partie du droit interne pertinent se trouve décrite dans l</w:t>
      </w:r>
      <w:r w:rsidR="00E267AB" w:rsidRPr="00E267AB">
        <w:rPr>
          <w:lang w:val="fr-FR"/>
        </w:rPr>
        <w:t>’</w:t>
      </w:r>
      <w:r w:rsidRPr="00E267AB">
        <w:rPr>
          <w:lang w:val="fr-FR"/>
        </w:rPr>
        <w:t xml:space="preserve">arrêt </w:t>
      </w:r>
      <w:r w:rsidRPr="00E267AB">
        <w:rPr>
          <w:i/>
          <w:lang w:val="fr-FR"/>
        </w:rPr>
        <w:t>Errico c. Italie</w:t>
      </w:r>
      <w:r w:rsidRPr="00E267AB">
        <w:rPr>
          <w:lang w:val="fr-FR"/>
        </w:rPr>
        <w:t>, n</w:t>
      </w:r>
      <w:r w:rsidR="003C365E" w:rsidRPr="00E267AB">
        <w:rPr>
          <w:vertAlign w:val="superscript"/>
          <w:lang w:val="fr-FR"/>
        </w:rPr>
        <w:t>o</w:t>
      </w:r>
      <w:r w:rsidRPr="00E267AB">
        <w:rPr>
          <w:lang w:val="fr-FR"/>
        </w:rPr>
        <w:t xml:space="preserve"> 29768/05, §§ 23-26, 24 février 2009</w:t>
      </w:r>
      <w:r w:rsidRPr="00E267AB">
        <w:rPr>
          <w:rFonts w:ascii="Calibri" w:eastAsia="Calibri" w:hAnsi="Calibri" w:cs="Times New Roman"/>
          <w:i/>
          <w:sz w:val="22"/>
          <w:lang w:val="fr-FR"/>
        </w:rPr>
        <w:t>.</w:t>
      </w:r>
    </w:p>
    <w:p w:rsidR="00E8543F" w:rsidRPr="00E267AB" w:rsidRDefault="00E8543F" w:rsidP="00E267AB">
      <w:pPr>
        <w:pStyle w:val="ECHRPara"/>
        <w:rPr>
          <w:rFonts w:ascii="Times New Roman" w:eastAsia="Calibri" w:hAnsi="Times New Roman" w:cs="Times New Roman"/>
          <w:szCs w:val="24"/>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74</w:t>
      </w:r>
      <w:r w:rsidRPr="00E267AB">
        <w:rPr>
          <w:lang w:val="fr-FR"/>
        </w:rPr>
        <w:fldChar w:fldCharType="end"/>
      </w:r>
      <w:r w:rsidRPr="00E267AB">
        <w:rPr>
          <w:lang w:val="fr-FR"/>
        </w:rPr>
        <w:t>.  </w:t>
      </w:r>
      <w:r w:rsidRPr="00E267AB">
        <w:rPr>
          <w:rFonts w:ascii="Times New Roman" w:eastAsia="Calibri" w:hAnsi="Times New Roman" w:cs="Times New Roman"/>
          <w:szCs w:val="24"/>
          <w:lang w:val="fr-FR"/>
        </w:rPr>
        <w:t>Le décret législatif n</w:t>
      </w:r>
      <w:r w:rsidR="003C365E" w:rsidRPr="00E267AB">
        <w:rPr>
          <w:rFonts w:ascii="Times New Roman" w:eastAsia="Calibri" w:hAnsi="Times New Roman" w:cs="Times New Roman"/>
          <w:szCs w:val="24"/>
          <w:vertAlign w:val="superscript"/>
          <w:lang w:val="fr-FR"/>
        </w:rPr>
        <w:t>o</w:t>
      </w:r>
      <w:r w:rsidR="007149EA" w:rsidRPr="00E267AB">
        <w:rPr>
          <w:rFonts w:ascii="Times New Roman" w:eastAsia="Calibri" w:hAnsi="Times New Roman" w:cs="Times New Roman"/>
          <w:szCs w:val="24"/>
          <w:vertAlign w:val="superscript"/>
          <w:lang w:val="fr-FR"/>
        </w:rPr>
        <w:t xml:space="preserve"> </w:t>
      </w:r>
      <w:r w:rsidRPr="00E267AB">
        <w:rPr>
          <w:rFonts w:ascii="Times New Roman" w:eastAsia="Calibri" w:hAnsi="Times New Roman" w:cs="Times New Roman"/>
          <w:szCs w:val="24"/>
          <w:lang w:val="fr-FR"/>
        </w:rPr>
        <w:t xml:space="preserve">154 du 28 décembre 2013 a introduit </w:t>
      </w:r>
      <w:r w:rsidR="00276DD7" w:rsidRPr="00E267AB">
        <w:rPr>
          <w:rFonts w:ascii="Times New Roman" w:eastAsia="Calibri" w:hAnsi="Times New Roman" w:cs="Times New Roman"/>
          <w:szCs w:val="24"/>
          <w:lang w:val="fr-FR"/>
        </w:rPr>
        <w:t xml:space="preserve">dans le code civil </w:t>
      </w:r>
      <w:r w:rsidRPr="00E267AB">
        <w:rPr>
          <w:rFonts w:ascii="Times New Roman" w:eastAsia="Calibri" w:hAnsi="Times New Roman" w:cs="Times New Roman"/>
          <w:szCs w:val="24"/>
          <w:lang w:val="fr-FR"/>
        </w:rPr>
        <w:t>des nouvelles dispositions relatives à l</w:t>
      </w:r>
      <w:r w:rsidR="00E267AB" w:rsidRPr="00E267AB">
        <w:rPr>
          <w:rFonts w:ascii="Times New Roman" w:eastAsia="Calibri" w:hAnsi="Times New Roman" w:cs="Times New Roman"/>
          <w:szCs w:val="24"/>
          <w:lang w:val="fr-FR"/>
        </w:rPr>
        <w:t>’</w:t>
      </w:r>
      <w:r w:rsidRPr="00E267AB">
        <w:rPr>
          <w:rFonts w:ascii="Times New Roman" w:eastAsia="Calibri" w:hAnsi="Times New Roman" w:cs="Times New Roman"/>
          <w:szCs w:val="24"/>
          <w:lang w:val="fr-FR"/>
        </w:rPr>
        <w:t>exercice de l</w:t>
      </w:r>
      <w:r w:rsidR="00E267AB" w:rsidRPr="00E267AB">
        <w:rPr>
          <w:rFonts w:ascii="Times New Roman" w:eastAsia="Calibri" w:hAnsi="Times New Roman" w:cs="Times New Roman"/>
          <w:szCs w:val="24"/>
          <w:lang w:val="fr-FR"/>
        </w:rPr>
        <w:t>’</w:t>
      </w:r>
      <w:r w:rsidRPr="00E267AB">
        <w:rPr>
          <w:rFonts w:ascii="Times New Roman" w:eastAsia="Calibri" w:hAnsi="Times New Roman" w:cs="Times New Roman"/>
          <w:szCs w:val="24"/>
          <w:lang w:val="fr-FR"/>
        </w:rPr>
        <w:t>autorité parentale à la suite d</w:t>
      </w:r>
      <w:r w:rsidR="00E267AB" w:rsidRPr="00E267AB">
        <w:rPr>
          <w:rFonts w:ascii="Times New Roman" w:eastAsia="Calibri" w:hAnsi="Times New Roman" w:cs="Times New Roman"/>
          <w:szCs w:val="24"/>
          <w:lang w:val="fr-FR"/>
        </w:rPr>
        <w:t>’</w:t>
      </w:r>
      <w:r w:rsidRPr="00E267AB">
        <w:rPr>
          <w:rFonts w:ascii="Times New Roman" w:eastAsia="Calibri" w:hAnsi="Times New Roman" w:cs="Times New Roman"/>
          <w:szCs w:val="24"/>
          <w:lang w:val="fr-FR"/>
        </w:rPr>
        <w:t>une séparation, d</w:t>
      </w:r>
      <w:r w:rsidR="00E267AB" w:rsidRPr="00E267AB">
        <w:rPr>
          <w:rFonts w:ascii="Times New Roman" w:eastAsia="Calibri" w:hAnsi="Times New Roman" w:cs="Times New Roman"/>
          <w:szCs w:val="24"/>
          <w:lang w:val="fr-FR"/>
        </w:rPr>
        <w:t>’</w:t>
      </w:r>
      <w:r w:rsidRPr="00E267AB">
        <w:rPr>
          <w:rFonts w:ascii="Times New Roman" w:eastAsia="Calibri" w:hAnsi="Times New Roman" w:cs="Times New Roman"/>
          <w:szCs w:val="24"/>
          <w:lang w:val="fr-FR"/>
        </w:rPr>
        <w:t>un divorce o</w:t>
      </w:r>
      <w:r w:rsidR="003D4934" w:rsidRPr="00E267AB">
        <w:rPr>
          <w:rFonts w:ascii="Times New Roman" w:eastAsia="Calibri" w:hAnsi="Times New Roman" w:cs="Times New Roman"/>
          <w:szCs w:val="24"/>
          <w:lang w:val="fr-FR"/>
        </w:rPr>
        <w:t>u</w:t>
      </w:r>
      <w:r w:rsidRPr="00E267AB">
        <w:rPr>
          <w:rFonts w:ascii="Times New Roman" w:eastAsia="Calibri" w:hAnsi="Times New Roman" w:cs="Times New Roman"/>
          <w:szCs w:val="24"/>
          <w:lang w:val="fr-FR"/>
        </w:rPr>
        <w:t xml:space="preserve"> de l</w:t>
      </w:r>
      <w:r w:rsidR="00E267AB" w:rsidRPr="00E267AB">
        <w:rPr>
          <w:rFonts w:ascii="Times New Roman" w:eastAsia="Calibri" w:hAnsi="Times New Roman" w:cs="Times New Roman"/>
          <w:szCs w:val="24"/>
          <w:lang w:val="fr-FR"/>
        </w:rPr>
        <w:t>’</w:t>
      </w:r>
      <w:r w:rsidRPr="00E267AB">
        <w:rPr>
          <w:rFonts w:ascii="Times New Roman" w:eastAsia="Calibri" w:hAnsi="Times New Roman" w:cs="Times New Roman"/>
          <w:szCs w:val="24"/>
          <w:lang w:val="fr-FR"/>
        </w:rPr>
        <w:t>annulation d</w:t>
      </w:r>
      <w:r w:rsidR="00E267AB" w:rsidRPr="00E267AB">
        <w:rPr>
          <w:rFonts w:ascii="Times New Roman" w:eastAsia="Calibri" w:hAnsi="Times New Roman" w:cs="Times New Roman"/>
          <w:szCs w:val="24"/>
          <w:lang w:val="fr-FR"/>
        </w:rPr>
        <w:t>’</w:t>
      </w:r>
      <w:r w:rsidRPr="00E267AB">
        <w:rPr>
          <w:rFonts w:ascii="Times New Roman" w:eastAsia="Calibri" w:hAnsi="Times New Roman" w:cs="Times New Roman"/>
          <w:szCs w:val="24"/>
          <w:lang w:val="fr-FR"/>
        </w:rPr>
        <w:t>un mariage. Ces dispositions s</w:t>
      </w:r>
      <w:r w:rsidR="00E267AB" w:rsidRPr="00E267AB">
        <w:rPr>
          <w:rFonts w:ascii="Times New Roman" w:eastAsia="Calibri" w:hAnsi="Times New Roman" w:cs="Times New Roman"/>
          <w:szCs w:val="24"/>
          <w:lang w:val="fr-FR"/>
        </w:rPr>
        <w:t>’</w:t>
      </w:r>
      <w:r w:rsidRPr="00E267AB">
        <w:rPr>
          <w:rFonts w:ascii="Times New Roman" w:eastAsia="Calibri" w:hAnsi="Times New Roman" w:cs="Times New Roman"/>
          <w:szCs w:val="24"/>
          <w:lang w:val="fr-FR"/>
        </w:rPr>
        <w:t>appliquent également dans le cadre des litiges concernant des enfants nés hors mariage.</w:t>
      </w:r>
    </w:p>
    <w:p w:rsidR="00E8543F" w:rsidRPr="00E267AB" w:rsidRDefault="00E8543F" w:rsidP="00E267AB">
      <w:pPr>
        <w:pStyle w:val="ECHRPara"/>
        <w:rPr>
          <w:rFonts w:ascii="Times New Roman" w:eastAsia="Calibri" w:hAnsi="Times New Roman" w:cs="Times New Roman"/>
          <w:szCs w:val="24"/>
          <w:lang w:val="fr-FR"/>
        </w:rPr>
      </w:pPr>
      <w:r w:rsidRPr="00E267AB">
        <w:rPr>
          <w:rFonts w:ascii="Times New Roman" w:eastAsia="Calibri" w:hAnsi="Times New Roman" w:cs="Times New Roman"/>
          <w:szCs w:val="24"/>
          <w:lang w:val="fr-FR"/>
        </w:rPr>
        <w:fldChar w:fldCharType="begin"/>
      </w:r>
      <w:r w:rsidRPr="00E267AB">
        <w:rPr>
          <w:rFonts w:ascii="Times New Roman" w:eastAsia="Calibri" w:hAnsi="Times New Roman" w:cs="Times New Roman"/>
          <w:szCs w:val="24"/>
          <w:lang w:val="fr-FR"/>
        </w:rPr>
        <w:instrText xml:space="preserve"> SEQ level0 \*arabic </w:instrText>
      </w:r>
      <w:r w:rsidRPr="00E267AB">
        <w:rPr>
          <w:rFonts w:ascii="Times New Roman" w:eastAsia="Calibri" w:hAnsi="Times New Roman" w:cs="Times New Roman"/>
          <w:szCs w:val="24"/>
          <w:lang w:val="fr-FR"/>
        </w:rPr>
        <w:fldChar w:fldCharType="separate"/>
      </w:r>
      <w:r w:rsidR="00E267AB" w:rsidRPr="00E267AB">
        <w:rPr>
          <w:rFonts w:ascii="Times New Roman" w:eastAsia="Calibri" w:hAnsi="Times New Roman" w:cs="Times New Roman"/>
          <w:noProof/>
          <w:szCs w:val="24"/>
          <w:lang w:val="fr-FR"/>
        </w:rPr>
        <w:t>75</w:t>
      </w:r>
      <w:r w:rsidRPr="00E267AB">
        <w:rPr>
          <w:rFonts w:ascii="Times New Roman" w:eastAsia="Calibri" w:hAnsi="Times New Roman" w:cs="Times New Roman"/>
          <w:szCs w:val="24"/>
          <w:lang w:val="fr-FR"/>
        </w:rPr>
        <w:fldChar w:fldCharType="end"/>
      </w:r>
      <w:r w:rsidRPr="00E267AB">
        <w:rPr>
          <w:rFonts w:ascii="Times New Roman" w:eastAsia="Calibri" w:hAnsi="Times New Roman" w:cs="Times New Roman"/>
          <w:szCs w:val="24"/>
          <w:lang w:val="fr-FR"/>
        </w:rPr>
        <w:t>.  Aux termes de l</w:t>
      </w:r>
      <w:r w:rsidR="00E267AB" w:rsidRPr="00E267AB">
        <w:rPr>
          <w:rFonts w:ascii="Times New Roman" w:eastAsia="Calibri" w:hAnsi="Times New Roman" w:cs="Times New Roman"/>
          <w:szCs w:val="24"/>
          <w:lang w:val="fr-FR"/>
        </w:rPr>
        <w:t>’</w:t>
      </w:r>
      <w:r w:rsidRPr="00E267AB">
        <w:rPr>
          <w:rFonts w:ascii="Times New Roman" w:eastAsia="Calibri" w:hAnsi="Times New Roman" w:cs="Times New Roman"/>
          <w:szCs w:val="24"/>
          <w:lang w:val="fr-FR"/>
        </w:rPr>
        <w:t>article 337t</w:t>
      </w:r>
      <w:r w:rsidR="00DA050E" w:rsidRPr="00E267AB">
        <w:rPr>
          <w:rFonts w:ascii="Times New Roman" w:eastAsia="Calibri" w:hAnsi="Times New Roman" w:cs="Times New Roman"/>
          <w:i/>
          <w:szCs w:val="24"/>
          <w:lang w:val="fr-FR"/>
        </w:rPr>
        <w:t>er</w:t>
      </w:r>
      <w:r w:rsidR="009B54E6" w:rsidRPr="00E267AB">
        <w:rPr>
          <w:rFonts w:ascii="Times New Roman" w:eastAsia="Calibri" w:hAnsi="Times New Roman" w:cs="Times New Roman"/>
          <w:szCs w:val="24"/>
          <w:lang w:val="fr-FR"/>
        </w:rPr>
        <w:t>,</w:t>
      </w:r>
      <w:r w:rsidRPr="00E267AB">
        <w:rPr>
          <w:rFonts w:ascii="Times New Roman" w:eastAsia="Calibri" w:hAnsi="Times New Roman" w:cs="Times New Roman"/>
          <w:szCs w:val="24"/>
          <w:lang w:val="fr-FR"/>
        </w:rPr>
        <w:t xml:space="preserve"> en cas de séparation, l</w:t>
      </w:r>
      <w:r w:rsidR="00E267AB" w:rsidRPr="00E267AB">
        <w:rPr>
          <w:rFonts w:ascii="Times New Roman" w:eastAsia="Calibri" w:hAnsi="Times New Roman" w:cs="Times New Roman"/>
          <w:szCs w:val="24"/>
          <w:lang w:val="fr-FR"/>
        </w:rPr>
        <w:t>’</w:t>
      </w:r>
      <w:r w:rsidRPr="00E267AB">
        <w:rPr>
          <w:rFonts w:ascii="Times New Roman" w:eastAsia="Calibri" w:hAnsi="Times New Roman" w:cs="Times New Roman"/>
          <w:szCs w:val="24"/>
          <w:lang w:val="fr-FR"/>
        </w:rPr>
        <w:t xml:space="preserve">autorité parentale est exercée par les deux parents. Le juge peut modifier les modalités de garde et prendre acte des différents accords intervenus entre les parties. Le juge peut </w:t>
      </w:r>
      <w:r w:rsidR="00DA050E" w:rsidRPr="00E267AB">
        <w:rPr>
          <w:rFonts w:ascii="Times New Roman" w:eastAsia="Calibri" w:hAnsi="Times New Roman" w:cs="Times New Roman"/>
          <w:szCs w:val="24"/>
          <w:lang w:val="fr-FR"/>
        </w:rPr>
        <w:t xml:space="preserve">établir les modalités de garde </w:t>
      </w:r>
      <w:r w:rsidRPr="00E267AB">
        <w:rPr>
          <w:rFonts w:ascii="Times New Roman" w:eastAsia="Calibri" w:hAnsi="Times New Roman" w:cs="Times New Roman"/>
          <w:szCs w:val="24"/>
          <w:lang w:val="fr-FR"/>
        </w:rPr>
        <w:t>et le montant de la pension alimentaire.</w:t>
      </w:r>
    </w:p>
    <w:p w:rsidR="009B54E6" w:rsidRPr="00E267AB" w:rsidRDefault="00DA050E" w:rsidP="00E267AB">
      <w:pPr>
        <w:pStyle w:val="ECHRPara"/>
        <w:rPr>
          <w:rFonts w:ascii="Times New Roman" w:eastAsia="Calibri" w:hAnsi="Times New Roman" w:cs="Times New Roman"/>
          <w:iCs/>
          <w:szCs w:val="24"/>
          <w:lang w:val="fr-FR"/>
        </w:rPr>
      </w:pPr>
      <w:r w:rsidRPr="00E267AB">
        <w:rPr>
          <w:rFonts w:ascii="Times New Roman" w:eastAsia="Calibri" w:hAnsi="Times New Roman" w:cs="Times New Roman"/>
          <w:szCs w:val="24"/>
          <w:lang w:val="fr-FR"/>
        </w:rPr>
        <w:fldChar w:fldCharType="begin"/>
      </w:r>
      <w:r w:rsidRPr="00E267AB">
        <w:rPr>
          <w:rFonts w:ascii="Times New Roman" w:eastAsia="Calibri" w:hAnsi="Times New Roman" w:cs="Times New Roman"/>
          <w:szCs w:val="24"/>
          <w:lang w:val="fr-FR"/>
        </w:rPr>
        <w:instrText xml:space="preserve"> SEQ level0 \*arabic </w:instrText>
      </w:r>
      <w:r w:rsidRPr="00E267AB">
        <w:rPr>
          <w:rFonts w:ascii="Times New Roman" w:eastAsia="Calibri" w:hAnsi="Times New Roman" w:cs="Times New Roman"/>
          <w:szCs w:val="24"/>
          <w:lang w:val="fr-FR"/>
        </w:rPr>
        <w:fldChar w:fldCharType="separate"/>
      </w:r>
      <w:r w:rsidR="00E267AB" w:rsidRPr="00E267AB">
        <w:rPr>
          <w:rFonts w:ascii="Times New Roman" w:eastAsia="Calibri" w:hAnsi="Times New Roman" w:cs="Times New Roman"/>
          <w:noProof/>
          <w:szCs w:val="24"/>
          <w:lang w:val="fr-FR"/>
        </w:rPr>
        <w:t>76</w:t>
      </w:r>
      <w:r w:rsidRPr="00E267AB">
        <w:rPr>
          <w:rFonts w:ascii="Times New Roman" w:eastAsia="Calibri" w:hAnsi="Times New Roman" w:cs="Times New Roman"/>
          <w:szCs w:val="24"/>
          <w:lang w:val="fr-FR"/>
        </w:rPr>
        <w:fldChar w:fldCharType="end"/>
      </w:r>
      <w:r w:rsidRPr="00E267AB">
        <w:rPr>
          <w:rFonts w:ascii="Times New Roman" w:eastAsia="Calibri" w:hAnsi="Times New Roman" w:cs="Times New Roman"/>
          <w:szCs w:val="24"/>
          <w:lang w:val="fr-FR"/>
        </w:rPr>
        <w:t>.  </w:t>
      </w:r>
      <w:r w:rsidR="00E8543F" w:rsidRPr="00E267AB">
        <w:rPr>
          <w:rFonts w:ascii="Times New Roman" w:eastAsia="Calibri" w:hAnsi="Times New Roman" w:cs="Times New Roman"/>
          <w:szCs w:val="24"/>
          <w:lang w:val="fr-FR"/>
        </w:rPr>
        <w:t>Selon l</w:t>
      </w:r>
      <w:r w:rsidR="00E267AB" w:rsidRPr="00E267AB">
        <w:rPr>
          <w:rFonts w:ascii="Times New Roman" w:eastAsia="Calibri" w:hAnsi="Times New Roman" w:cs="Times New Roman"/>
          <w:szCs w:val="24"/>
          <w:lang w:val="fr-FR"/>
        </w:rPr>
        <w:t>’</w:t>
      </w:r>
      <w:r w:rsidR="00E8543F" w:rsidRPr="00E267AB">
        <w:rPr>
          <w:rFonts w:ascii="Times New Roman" w:eastAsia="Calibri" w:hAnsi="Times New Roman" w:cs="Times New Roman"/>
          <w:szCs w:val="24"/>
          <w:lang w:val="fr-FR"/>
        </w:rPr>
        <w:t xml:space="preserve">article </w:t>
      </w:r>
      <w:r w:rsidR="009B54E6" w:rsidRPr="00E267AB">
        <w:rPr>
          <w:rFonts w:ascii="Times New Roman" w:eastAsia="Calibri" w:hAnsi="Times New Roman" w:cs="Times New Roman"/>
          <w:szCs w:val="24"/>
          <w:lang w:val="fr-FR"/>
        </w:rPr>
        <w:t>337</w:t>
      </w:r>
      <w:r w:rsidR="00E8543F" w:rsidRPr="00E267AB">
        <w:rPr>
          <w:rFonts w:ascii="Times New Roman" w:eastAsia="Calibri" w:hAnsi="Times New Roman" w:cs="Times New Roman"/>
          <w:i/>
          <w:szCs w:val="24"/>
          <w:lang w:val="fr-FR"/>
        </w:rPr>
        <w:t>qua</w:t>
      </w:r>
      <w:r w:rsidRPr="00E267AB">
        <w:rPr>
          <w:rFonts w:ascii="Times New Roman" w:eastAsia="Calibri" w:hAnsi="Times New Roman" w:cs="Times New Roman"/>
          <w:i/>
          <w:szCs w:val="24"/>
          <w:lang w:val="fr-FR"/>
        </w:rPr>
        <w:t>ter</w:t>
      </w:r>
      <w:r w:rsidRPr="00E267AB">
        <w:rPr>
          <w:rFonts w:ascii="Times New Roman" w:eastAsia="Calibri" w:hAnsi="Times New Roman" w:cs="Times New Roman"/>
          <w:szCs w:val="24"/>
          <w:lang w:val="fr-FR"/>
        </w:rPr>
        <w:t>,</w:t>
      </w:r>
      <w:r w:rsidR="00E8543F" w:rsidRPr="00E267AB">
        <w:rPr>
          <w:rFonts w:ascii="Times New Roman" w:eastAsia="Calibri" w:hAnsi="Times New Roman" w:cs="Times New Roman"/>
          <w:i/>
          <w:szCs w:val="24"/>
          <w:lang w:val="fr-FR"/>
        </w:rPr>
        <w:t xml:space="preserve"> </w:t>
      </w:r>
      <w:r w:rsidR="00E8543F" w:rsidRPr="00E267AB">
        <w:rPr>
          <w:rFonts w:ascii="Times New Roman" w:eastAsia="Calibri" w:hAnsi="Times New Roman" w:cs="Times New Roman"/>
          <w:szCs w:val="24"/>
          <w:lang w:val="fr-FR"/>
        </w:rPr>
        <w:t>le juge peut confier la garde des enfants à l</w:t>
      </w:r>
      <w:r w:rsidR="00E267AB" w:rsidRPr="00E267AB">
        <w:rPr>
          <w:rFonts w:ascii="Times New Roman" w:eastAsia="Calibri" w:hAnsi="Times New Roman" w:cs="Times New Roman"/>
          <w:szCs w:val="24"/>
          <w:lang w:val="fr-FR"/>
        </w:rPr>
        <w:t>’</w:t>
      </w:r>
      <w:r w:rsidR="00E8543F" w:rsidRPr="00E267AB">
        <w:rPr>
          <w:rFonts w:ascii="Times New Roman" w:eastAsia="Calibri" w:hAnsi="Times New Roman" w:cs="Times New Roman"/>
          <w:szCs w:val="24"/>
          <w:lang w:val="fr-FR"/>
        </w:rPr>
        <w:t>un des parents lorsqu</w:t>
      </w:r>
      <w:r w:rsidR="00E267AB" w:rsidRPr="00E267AB">
        <w:rPr>
          <w:rFonts w:ascii="Times New Roman" w:eastAsia="Calibri" w:hAnsi="Times New Roman" w:cs="Times New Roman"/>
          <w:szCs w:val="24"/>
          <w:lang w:val="fr-FR"/>
        </w:rPr>
        <w:t>’</w:t>
      </w:r>
      <w:r w:rsidR="00E8543F" w:rsidRPr="00E267AB">
        <w:rPr>
          <w:rFonts w:ascii="Times New Roman" w:eastAsia="Calibri" w:hAnsi="Times New Roman" w:cs="Times New Roman"/>
          <w:szCs w:val="24"/>
          <w:lang w:val="fr-FR"/>
        </w:rPr>
        <w:t>il estime que l</w:t>
      </w:r>
      <w:r w:rsidR="00E267AB" w:rsidRPr="00E267AB">
        <w:rPr>
          <w:rFonts w:ascii="Times New Roman" w:eastAsia="Calibri" w:hAnsi="Times New Roman" w:cs="Times New Roman"/>
          <w:szCs w:val="24"/>
          <w:lang w:val="fr-FR"/>
        </w:rPr>
        <w:t>’</w:t>
      </w:r>
      <w:r w:rsidR="00E8543F" w:rsidRPr="00E267AB">
        <w:rPr>
          <w:rFonts w:ascii="Times New Roman" w:eastAsia="Calibri" w:hAnsi="Times New Roman" w:cs="Times New Roman"/>
          <w:szCs w:val="24"/>
          <w:lang w:val="fr-FR"/>
        </w:rPr>
        <w:t>a</w:t>
      </w:r>
      <w:r w:rsidR="009B54E6" w:rsidRPr="00E267AB">
        <w:rPr>
          <w:rFonts w:ascii="Times New Roman" w:eastAsia="Calibri" w:hAnsi="Times New Roman" w:cs="Times New Roman"/>
          <w:szCs w:val="24"/>
          <w:lang w:val="fr-FR"/>
        </w:rPr>
        <w:t>ttribution de la</w:t>
      </w:r>
      <w:r w:rsidR="00E8543F" w:rsidRPr="00E267AB">
        <w:rPr>
          <w:rFonts w:ascii="Times New Roman" w:eastAsia="Calibri" w:hAnsi="Times New Roman" w:cs="Times New Roman"/>
          <w:szCs w:val="24"/>
          <w:lang w:val="fr-FR"/>
        </w:rPr>
        <w:t xml:space="preserve"> garde à l</w:t>
      </w:r>
      <w:r w:rsidR="00E267AB" w:rsidRPr="00E267AB">
        <w:rPr>
          <w:rFonts w:ascii="Times New Roman" w:eastAsia="Calibri" w:hAnsi="Times New Roman" w:cs="Times New Roman"/>
          <w:szCs w:val="24"/>
          <w:lang w:val="fr-FR"/>
        </w:rPr>
        <w:t>’</w:t>
      </w:r>
      <w:r w:rsidR="00E8543F" w:rsidRPr="00E267AB">
        <w:rPr>
          <w:rFonts w:ascii="Times New Roman" w:eastAsia="Calibri" w:hAnsi="Times New Roman" w:cs="Times New Roman"/>
          <w:szCs w:val="24"/>
          <w:lang w:val="fr-FR"/>
        </w:rPr>
        <w:t>autre parent est contraire à l</w:t>
      </w:r>
      <w:r w:rsidR="00E267AB" w:rsidRPr="00E267AB">
        <w:rPr>
          <w:rFonts w:ascii="Times New Roman" w:eastAsia="Calibri" w:hAnsi="Times New Roman" w:cs="Times New Roman"/>
          <w:szCs w:val="24"/>
          <w:lang w:val="fr-FR"/>
        </w:rPr>
        <w:t>’</w:t>
      </w:r>
      <w:r w:rsidR="00E8543F" w:rsidRPr="00E267AB">
        <w:rPr>
          <w:rFonts w:ascii="Times New Roman" w:eastAsia="Calibri" w:hAnsi="Times New Roman" w:cs="Times New Roman"/>
          <w:szCs w:val="24"/>
          <w:lang w:val="fr-FR"/>
        </w:rPr>
        <w:t>intérêt de l</w:t>
      </w:r>
      <w:r w:rsidR="00E267AB" w:rsidRPr="00E267AB">
        <w:rPr>
          <w:rFonts w:ascii="Times New Roman" w:eastAsia="Calibri" w:hAnsi="Times New Roman" w:cs="Times New Roman"/>
          <w:szCs w:val="24"/>
          <w:lang w:val="fr-FR"/>
        </w:rPr>
        <w:t>’</w:t>
      </w:r>
      <w:r w:rsidR="00E8543F" w:rsidRPr="00E267AB">
        <w:rPr>
          <w:rFonts w:ascii="Times New Roman" w:eastAsia="Calibri" w:hAnsi="Times New Roman" w:cs="Times New Roman"/>
          <w:szCs w:val="24"/>
          <w:lang w:val="fr-FR"/>
        </w:rPr>
        <w:t>enfant. Chacun des parents peut également demander à tout moment la garde exclusive. Le parent qui a la garde exclusive de l</w:t>
      </w:r>
      <w:r w:rsidR="00E267AB" w:rsidRPr="00E267AB">
        <w:rPr>
          <w:rFonts w:ascii="Times New Roman" w:eastAsia="Calibri" w:hAnsi="Times New Roman" w:cs="Times New Roman"/>
          <w:szCs w:val="24"/>
          <w:lang w:val="fr-FR"/>
        </w:rPr>
        <w:t>’</w:t>
      </w:r>
      <w:r w:rsidR="00E8543F" w:rsidRPr="00E267AB">
        <w:rPr>
          <w:rFonts w:ascii="Times New Roman" w:eastAsia="Calibri" w:hAnsi="Times New Roman" w:cs="Times New Roman"/>
          <w:szCs w:val="24"/>
          <w:lang w:val="fr-FR"/>
        </w:rPr>
        <w:t>enfant exerce également l</w:t>
      </w:r>
      <w:r w:rsidR="00E267AB" w:rsidRPr="00E267AB">
        <w:rPr>
          <w:rFonts w:ascii="Times New Roman" w:eastAsia="Calibri" w:hAnsi="Times New Roman" w:cs="Times New Roman"/>
          <w:szCs w:val="24"/>
          <w:lang w:val="fr-FR"/>
        </w:rPr>
        <w:t>’</w:t>
      </w:r>
      <w:r w:rsidR="00E8543F" w:rsidRPr="00E267AB">
        <w:rPr>
          <w:rFonts w:ascii="Times New Roman" w:eastAsia="Calibri" w:hAnsi="Times New Roman" w:cs="Times New Roman"/>
          <w:szCs w:val="24"/>
          <w:lang w:val="fr-FR"/>
        </w:rPr>
        <w:t>autorité parentale exclusive. Sauf indication contraire, les</w:t>
      </w:r>
      <w:r w:rsidR="00E8543F" w:rsidRPr="00E267AB">
        <w:rPr>
          <w:rFonts w:ascii="Times New Roman" w:eastAsia="Calibri" w:hAnsi="Times New Roman" w:cs="Times New Roman"/>
          <w:iCs/>
          <w:szCs w:val="24"/>
          <w:lang w:val="fr-FR"/>
        </w:rPr>
        <w:t xml:space="preserve"> décisions qui présentent un intérêt majeur pour les enfants sont prises conjointement par les parents.</w:t>
      </w:r>
    </w:p>
    <w:p w:rsidR="00E8543F" w:rsidRPr="00E267AB" w:rsidRDefault="00E8543F" w:rsidP="00E267AB">
      <w:pPr>
        <w:pStyle w:val="ECHRPara"/>
        <w:rPr>
          <w:rFonts w:ascii="Times New Roman" w:eastAsia="Calibri" w:hAnsi="Times New Roman" w:cs="Times New Roman"/>
          <w:szCs w:val="24"/>
          <w:lang w:val="fr-FR"/>
        </w:rPr>
      </w:pPr>
      <w:r w:rsidRPr="00E267AB">
        <w:rPr>
          <w:rFonts w:ascii="Times New Roman" w:eastAsia="Calibri" w:hAnsi="Times New Roman" w:cs="Times New Roman"/>
          <w:szCs w:val="24"/>
          <w:lang w:val="fr-FR"/>
        </w:rPr>
        <w:t>Le parent qui n</w:t>
      </w:r>
      <w:r w:rsidR="00E267AB" w:rsidRPr="00E267AB">
        <w:rPr>
          <w:rFonts w:ascii="Times New Roman" w:eastAsia="Calibri" w:hAnsi="Times New Roman" w:cs="Times New Roman"/>
          <w:szCs w:val="24"/>
          <w:lang w:val="fr-FR"/>
        </w:rPr>
        <w:t>’</w:t>
      </w:r>
      <w:r w:rsidRPr="00E267AB">
        <w:rPr>
          <w:rFonts w:ascii="Times New Roman" w:eastAsia="Calibri" w:hAnsi="Times New Roman" w:cs="Times New Roman"/>
          <w:szCs w:val="24"/>
          <w:lang w:val="fr-FR"/>
        </w:rPr>
        <w:t>a pas la garde a le droit et le devoir de veiller à l</w:t>
      </w:r>
      <w:r w:rsidR="00E267AB" w:rsidRPr="00E267AB">
        <w:rPr>
          <w:rFonts w:ascii="Times New Roman" w:eastAsia="Calibri" w:hAnsi="Times New Roman" w:cs="Times New Roman"/>
          <w:szCs w:val="24"/>
          <w:lang w:val="fr-FR"/>
        </w:rPr>
        <w:t>’</w:t>
      </w:r>
      <w:r w:rsidRPr="00E267AB">
        <w:rPr>
          <w:rFonts w:ascii="Times New Roman" w:eastAsia="Calibri" w:hAnsi="Times New Roman" w:cs="Times New Roman"/>
          <w:szCs w:val="24"/>
          <w:lang w:val="fr-FR"/>
        </w:rPr>
        <w:t>éducation des enfants. Il peut saisir le juge quand il estime que des décisions contraires à l</w:t>
      </w:r>
      <w:r w:rsidR="00E267AB" w:rsidRPr="00E267AB">
        <w:rPr>
          <w:rFonts w:ascii="Times New Roman" w:eastAsia="Calibri" w:hAnsi="Times New Roman" w:cs="Times New Roman"/>
          <w:szCs w:val="24"/>
          <w:lang w:val="fr-FR"/>
        </w:rPr>
        <w:t>’</w:t>
      </w:r>
      <w:r w:rsidRPr="00E267AB">
        <w:rPr>
          <w:rFonts w:ascii="Times New Roman" w:eastAsia="Calibri" w:hAnsi="Times New Roman" w:cs="Times New Roman"/>
          <w:szCs w:val="24"/>
          <w:lang w:val="fr-FR"/>
        </w:rPr>
        <w:t>intérêt des enfants sont prises.</w:t>
      </w:r>
    </w:p>
    <w:p w:rsidR="00E8543F" w:rsidRPr="00E267AB" w:rsidRDefault="00DA050E" w:rsidP="00E267AB">
      <w:pPr>
        <w:pStyle w:val="ECHRPara"/>
        <w:rPr>
          <w:rFonts w:eastAsia="Calibri"/>
          <w:lang w:val="fr-FR"/>
        </w:rPr>
      </w:pPr>
      <w:r w:rsidRPr="00E267AB">
        <w:rPr>
          <w:rFonts w:eastAsia="Calibri"/>
          <w:lang w:val="fr-FR"/>
        </w:rPr>
        <w:fldChar w:fldCharType="begin"/>
      </w:r>
      <w:r w:rsidRPr="00E267AB">
        <w:rPr>
          <w:rFonts w:eastAsia="Calibri"/>
          <w:lang w:val="fr-FR"/>
        </w:rPr>
        <w:instrText xml:space="preserve"> SEQ level0 \*arabic </w:instrText>
      </w:r>
      <w:r w:rsidRPr="00E267AB">
        <w:rPr>
          <w:rFonts w:eastAsia="Calibri"/>
          <w:lang w:val="fr-FR"/>
        </w:rPr>
        <w:fldChar w:fldCharType="separate"/>
      </w:r>
      <w:r w:rsidR="00E267AB" w:rsidRPr="00E267AB">
        <w:rPr>
          <w:rFonts w:eastAsia="Calibri"/>
          <w:noProof/>
          <w:lang w:val="fr-FR"/>
        </w:rPr>
        <w:t>77</w:t>
      </w:r>
      <w:r w:rsidRPr="00E267AB">
        <w:rPr>
          <w:rFonts w:eastAsia="Calibri"/>
          <w:lang w:val="fr-FR"/>
        </w:rPr>
        <w:fldChar w:fldCharType="end"/>
      </w:r>
      <w:r w:rsidRPr="00E267AB">
        <w:rPr>
          <w:rFonts w:eastAsia="Calibri"/>
          <w:lang w:val="fr-FR"/>
        </w:rPr>
        <w:t>.  </w:t>
      </w:r>
      <w:r w:rsidR="00276DD7" w:rsidRPr="00E267AB">
        <w:rPr>
          <w:rFonts w:eastAsia="Calibri"/>
          <w:lang w:val="fr-FR"/>
        </w:rPr>
        <w:t>Selon l</w:t>
      </w:r>
      <w:r w:rsidR="00E267AB" w:rsidRPr="00E267AB">
        <w:rPr>
          <w:rFonts w:eastAsia="Calibri"/>
          <w:lang w:val="fr-FR"/>
        </w:rPr>
        <w:t>’</w:t>
      </w:r>
      <w:r w:rsidR="00E8543F" w:rsidRPr="00E267AB">
        <w:rPr>
          <w:rFonts w:eastAsia="Calibri"/>
          <w:lang w:val="fr-FR"/>
        </w:rPr>
        <w:t xml:space="preserve">article </w:t>
      </w:r>
      <w:r w:rsidR="009B54E6" w:rsidRPr="00E267AB">
        <w:rPr>
          <w:rFonts w:eastAsia="Calibri"/>
          <w:lang w:val="fr-FR"/>
        </w:rPr>
        <w:t>337</w:t>
      </w:r>
      <w:r w:rsidR="00E8543F" w:rsidRPr="00E267AB">
        <w:rPr>
          <w:rFonts w:eastAsia="Calibri"/>
          <w:i/>
          <w:lang w:val="fr-FR"/>
        </w:rPr>
        <w:t>quinquies</w:t>
      </w:r>
      <w:r w:rsidR="00E8543F" w:rsidRPr="00E267AB">
        <w:rPr>
          <w:rFonts w:eastAsia="Calibri"/>
          <w:lang w:val="fr-FR"/>
        </w:rPr>
        <w:t xml:space="preserve">, les parents </w:t>
      </w:r>
      <w:r w:rsidR="009B54E6" w:rsidRPr="00E267AB">
        <w:rPr>
          <w:rFonts w:eastAsia="Calibri"/>
          <w:lang w:val="fr-FR"/>
        </w:rPr>
        <w:t>peuvent</w:t>
      </w:r>
      <w:r w:rsidR="00E8543F" w:rsidRPr="00E267AB">
        <w:rPr>
          <w:rFonts w:eastAsia="Calibri"/>
          <w:lang w:val="fr-FR"/>
        </w:rPr>
        <w:t xml:space="preserve"> </w:t>
      </w:r>
      <w:r w:rsidRPr="00E267AB">
        <w:rPr>
          <w:rFonts w:eastAsia="Calibri"/>
          <w:lang w:val="fr-FR"/>
        </w:rPr>
        <w:t>à</w:t>
      </w:r>
      <w:r w:rsidR="00E8543F" w:rsidRPr="00E267AB">
        <w:rPr>
          <w:rFonts w:eastAsia="Calibri"/>
          <w:lang w:val="fr-FR"/>
        </w:rPr>
        <w:t xml:space="preserve"> tout moment demander la révision des modalités concernant la garde des enfant</w:t>
      </w:r>
      <w:r w:rsidR="003D4934" w:rsidRPr="00E267AB">
        <w:rPr>
          <w:rFonts w:eastAsia="Calibri"/>
          <w:lang w:val="fr-FR"/>
        </w:rPr>
        <w:t>s</w:t>
      </w:r>
      <w:r w:rsidR="00E8543F" w:rsidRPr="00E267AB">
        <w:rPr>
          <w:rFonts w:eastAsia="Calibri"/>
          <w:lang w:val="fr-FR"/>
        </w:rPr>
        <w:t xml:space="preserve"> </w:t>
      </w:r>
      <w:r w:rsidRPr="00E267AB">
        <w:rPr>
          <w:rFonts w:eastAsia="Calibri"/>
          <w:lang w:val="fr-FR"/>
        </w:rPr>
        <w:t>et</w:t>
      </w:r>
      <w:r w:rsidR="00E8543F" w:rsidRPr="00E267AB">
        <w:rPr>
          <w:rFonts w:eastAsia="Calibri"/>
          <w:lang w:val="fr-FR"/>
        </w:rPr>
        <w:t xml:space="preserve"> l</w:t>
      </w:r>
      <w:r w:rsidR="00E267AB" w:rsidRPr="00E267AB">
        <w:rPr>
          <w:rFonts w:eastAsia="Calibri"/>
          <w:lang w:val="fr-FR"/>
        </w:rPr>
        <w:t>’</w:t>
      </w:r>
      <w:r w:rsidR="00E8543F" w:rsidRPr="00E267AB">
        <w:rPr>
          <w:rFonts w:eastAsia="Calibri"/>
          <w:lang w:val="fr-FR"/>
        </w:rPr>
        <w:t>attribution de l</w:t>
      </w:r>
      <w:r w:rsidR="00E267AB" w:rsidRPr="00E267AB">
        <w:rPr>
          <w:rFonts w:eastAsia="Calibri"/>
          <w:lang w:val="fr-FR"/>
        </w:rPr>
        <w:t>’</w:t>
      </w:r>
      <w:r w:rsidR="00E8543F" w:rsidRPr="00E267AB">
        <w:rPr>
          <w:rFonts w:eastAsia="Calibri"/>
          <w:lang w:val="fr-FR"/>
        </w:rPr>
        <w:t>autorité parentale.</w:t>
      </w:r>
    </w:p>
    <w:p w:rsidR="003C365E" w:rsidRPr="00E267AB" w:rsidRDefault="00DA050E" w:rsidP="00E267AB">
      <w:pPr>
        <w:pStyle w:val="ECHRPara"/>
        <w:rPr>
          <w:rFonts w:eastAsia="Calibri"/>
          <w:lang w:val="fr-FR"/>
        </w:rPr>
      </w:pPr>
      <w:r w:rsidRPr="00E267AB">
        <w:rPr>
          <w:rFonts w:eastAsia="Calibri"/>
          <w:lang w:val="fr-FR"/>
        </w:rPr>
        <w:lastRenderedPageBreak/>
        <w:fldChar w:fldCharType="begin"/>
      </w:r>
      <w:r w:rsidRPr="00E267AB">
        <w:rPr>
          <w:rFonts w:eastAsia="Calibri"/>
          <w:lang w:val="fr-FR"/>
        </w:rPr>
        <w:instrText xml:space="preserve"> SEQ level0 \*arabic </w:instrText>
      </w:r>
      <w:r w:rsidRPr="00E267AB">
        <w:rPr>
          <w:rFonts w:eastAsia="Calibri"/>
          <w:lang w:val="fr-FR"/>
        </w:rPr>
        <w:fldChar w:fldCharType="separate"/>
      </w:r>
      <w:r w:rsidR="00E267AB" w:rsidRPr="00E267AB">
        <w:rPr>
          <w:rFonts w:eastAsia="Calibri"/>
          <w:noProof/>
          <w:lang w:val="fr-FR"/>
        </w:rPr>
        <w:t>78</w:t>
      </w:r>
      <w:r w:rsidRPr="00E267AB">
        <w:rPr>
          <w:rFonts w:eastAsia="Calibri"/>
          <w:lang w:val="fr-FR"/>
        </w:rPr>
        <w:fldChar w:fldCharType="end"/>
      </w:r>
      <w:r w:rsidRPr="00E267AB">
        <w:rPr>
          <w:rFonts w:eastAsia="Calibri"/>
          <w:lang w:val="fr-FR"/>
        </w:rPr>
        <w:t>.  </w:t>
      </w:r>
      <w:r w:rsidR="00E8543F" w:rsidRPr="00E267AB">
        <w:rPr>
          <w:rFonts w:eastAsia="Calibri"/>
          <w:lang w:val="fr-FR"/>
        </w:rPr>
        <w:t>Aux</w:t>
      </w:r>
      <w:r w:rsidRPr="00E267AB">
        <w:rPr>
          <w:rFonts w:eastAsia="Calibri"/>
          <w:lang w:val="fr-FR"/>
        </w:rPr>
        <w:t xml:space="preserve"> termes de l</w:t>
      </w:r>
      <w:r w:rsidR="00E267AB" w:rsidRPr="00E267AB">
        <w:rPr>
          <w:rFonts w:eastAsia="Calibri"/>
          <w:lang w:val="fr-FR"/>
        </w:rPr>
        <w:t>’</w:t>
      </w:r>
      <w:r w:rsidRPr="00E267AB">
        <w:rPr>
          <w:rFonts w:eastAsia="Calibri"/>
          <w:lang w:val="fr-FR"/>
        </w:rPr>
        <w:t>article 337</w:t>
      </w:r>
      <w:r w:rsidR="00E8543F" w:rsidRPr="00E267AB">
        <w:rPr>
          <w:rFonts w:eastAsia="Calibri"/>
          <w:i/>
          <w:iCs/>
          <w:lang w:val="fr-FR"/>
        </w:rPr>
        <w:t>octies</w:t>
      </w:r>
      <w:r w:rsidR="00E8543F" w:rsidRPr="00E267AB">
        <w:rPr>
          <w:rFonts w:eastAsia="Calibri"/>
          <w:lang w:val="fr-FR"/>
        </w:rPr>
        <w:t>,</w:t>
      </w:r>
      <w:r w:rsidR="00E8543F" w:rsidRPr="00E267AB">
        <w:rPr>
          <w:rFonts w:eastAsia="Calibri"/>
          <w:color w:val="000000"/>
          <w:lang w:val="fr-FR"/>
        </w:rPr>
        <w:t xml:space="preserve"> </w:t>
      </w:r>
      <w:r w:rsidRPr="00E267AB">
        <w:rPr>
          <w:rFonts w:eastAsia="Calibri"/>
          <w:lang w:val="fr-FR"/>
        </w:rPr>
        <w:t>avant de prendre</w:t>
      </w:r>
      <w:r w:rsidR="00E8543F" w:rsidRPr="00E267AB">
        <w:rPr>
          <w:rFonts w:eastAsia="Calibri"/>
          <w:lang w:val="fr-FR"/>
        </w:rPr>
        <w:t xml:space="preserve"> les décisions mentionnées à l</w:t>
      </w:r>
      <w:r w:rsidR="00E267AB" w:rsidRPr="00E267AB">
        <w:rPr>
          <w:rFonts w:eastAsia="Calibri"/>
          <w:lang w:val="fr-FR"/>
        </w:rPr>
        <w:t>’</w:t>
      </w:r>
      <w:r w:rsidR="00E8543F" w:rsidRPr="00E267AB">
        <w:rPr>
          <w:rFonts w:eastAsia="Calibri"/>
          <w:lang w:val="fr-FR"/>
        </w:rPr>
        <w:t>article 337</w:t>
      </w:r>
      <w:r w:rsidR="00E8543F" w:rsidRPr="00E267AB">
        <w:rPr>
          <w:rFonts w:eastAsia="Calibri"/>
          <w:i/>
          <w:iCs/>
          <w:lang w:val="fr-FR"/>
        </w:rPr>
        <w:t>ter</w:t>
      </w:r>
      <w:r w:rsidR="00E8543F" w:rsidRPr="00E267AB">
        <w:rPr>
          <w:rFonts w:eastAsia="Calibri"/>
          <w:iCs/>
          <w:lang w:val="fr-FR"/>
        </w:rPr>
        <w:t>,</w:t>
      </w:r>
      <w:r w:rsidR="00E8543F" w:rsidRPr="00E267AB">
        <w:rPr>
          <w:rFonts w:eastAsia="Calibri"/>
          <w:i/>
          <w:iCs/>
          <w:lang w:val="fr-FR"/>
        </w:rPr>
        <w:t xml:space="preserve"> </w:t>
      </w:r>
      <w:r w:rsidR="00E8543F" w:rsidRPr="00E267AB">
        <w:rPr>
          <w:rFonts w:eastAsia="Calibri"/>
          <w:lang w:val="fr-FR"/>
        </w:rPr>
        <w:t> le juge</w:t>
      </w:r>
      <w:r w:rsidR="00E8543F" w:rsidRPr="00E267AB">
        <w:rPr>
          <w:rFonts w:eastAsia="Calibri"/>
          <w:i/>
          <w:iCs/>
          <w:lang w:val="fr-FR"/>
        </w:rPr>
        <w:t xml:space="preserve"> </w:t>
      </w:r>
      <w:r w:rsidR="00E8543F" w:rsidRPr="00E267AB">
        <w:rPr>
          <w:rFonts w:eastAsia="Calibri"/>
          <w:lang w:val="fr-FR"/>
        </w:rPr>
        <w:t>peut admettre</w:t>
      </w:r>
      <w:r w:rsidR="00E8543F" w:rsidRPr="00E267AB">
        <w:rPr>
          <w:rFonts w:eastAsia="Calibri"/>
          <w:i/>
          <w:iCs/>
          <w:lang w:val="fr-FR"/>
        </w:rPr>
        <w:t xml:space="preserve"> </w:t>
      </w:r>
      <w:r w:rsidRPr="00E267AB">
        <w:rPr>
          <w:rFonts w:eastAsia="Calibri"/>
          <w:lang w:val="fr-FR"/>
        </w:rPr>
        <w:t>des</w:t>
      </w:r>
      <w:r w:rsidR="00E8543F" w:rsidRPr="00E267AB">
        <w:rPr>
          <w:rFonts w:eastAsia="Calibri"/>
          <w:lang w:val="fr-FR"/>
        </w:rPr>
        <w:t xml:space="preserve"> moye</w:t>
      </w:r>
      <w:r w:rsidR="003D4934" w:rsidRPr="00E267AB">
        <w:rPr>
          <w:rFonts w:eastAsia="Calibri"/>
          <w:lang w:val="fr-FR"/>
        </w:rPr>
        <w:t>n</w:t>
      </w:r>
      <w:r w:rsidR="00E8543F" w:rsidRPr="00E267AB">
        <w:rPr>
          <w:rFonts w:eastAsia="Calibri"/>
          <w:lang w:val="fr-FR"/>
        </w:rPr>
        <w:t>s de preuves et utiliser l</w:t>
      </w:r>
      <w:r w:rsidR="00E267AB" w:rsidRPr="00E267AB">
        <w:rPr>
          <w:rFonts w:eastAsia="Calibri"/>
          <w:lang w:val="fr-FR"/>
        </w:rPr>
        <w:t>’</w:t>
      </w:r>
      <w:r w:rsidR="00E8543F" w:rsidRPr="00E267AB">
        <w:rPr>
          <w:rFonts w:eastAsia="Calibri"/>
          <w:lang w:val="fr-FR"/>
        </w:rPr>
        <w:t>avis d</w:t>
      </w:r>
      <w:r w:rsidR="00E267AB" w:rsidRPr="00E267AB">
        <w:rPr>
          <w:rFonts w:eastAsia="Calibri"/>
          <w:color w:val="000000"/>
          <w:lang w:val="fr-FR"/>
        </w:rPr>
        <w:t>’</w:t>
      </w:r>
      <w:r w:rsidR="00E8543F" w:rsidRPr="00E267AB">
        <w:rPr>
          <w:rFonts w:eastAsia="Calibri"/>
          <w:color w:val="000000"/>
          <w:lang w:val="fr-FR"/>
        </w:rPr>
        <w:t xml:space="preserve">un </w:t>
      </w:r>
      <w:r w:rsidR="003D4934" w:rsidRPr="00E267AB">
        <w:rPr>
          <w:rFonts w:eastAsia="Calibri"/>
          <w:lang w:val="fr-FR"/>
        </w:rPr>
        <w:t>expert.</w:t>
      </w:r>
      <w:r w:rsidR="00E8543F" w:rsidRPr="00E267AB">
        <w:rPr>
          <w:rFonts w:eastAsia="Calibri"/>
          <w:lang w:val="fr-FR"/>
        </w:rPr>
        <w:t xml:space="preserve"> </w:t>
      </w:r>
      <w:r w:rsidR="00E8543F" w:rsidRPr="00E267AB">
        <w:rPr>
          <w:rFonts w:eastAsia="Calibri"/>
          <w:color w:val="000000"/>
          <w:lang w:val="fr-FR"/>
        </w:rPr>
        <w:t xml:space="preserve">Il </w:t>
      </w:r>
      <w:r w:rsidR="00E8543F" w:rsidRPr="00E267AB">
        <w:rPr>
          <w:rFonts w:eastAsia="Calibri"/>
          <w:lang w:val="fr-FR"/>
        </w:rPr>
        <w:t>peut également</w:t>
      </w:r>
      <w:r w:rsidR="00E8543F" w:rsidRPr="00E267AB">
        <w:rPr>
          <w:rFonts w:eastAsia="Calibri"/>
          <w:color w:val="000000"/>
          <w:lang w:val="fr-FR"/>
        </w:rPr>
        <w:t xml:space="preserve"> : 1) </w:t>
      </w:r>
      <w:r w:rsidR="00E8543F" w:rsidRPr="00E267AB">
        <w:rPr>
          <w:rFonts w:eastAsia="Calibri"/>
          <w:lang w:val="fr-FR"/>
        </w:rPr>
        <w:t>procéder à l</w:t>
      </w:r>
      <w:r w:rsidR="00E267AB" w:rsidRPr="00E267AB">
        <w:rPr>
          <w:rFonts w:eastAsia="Calibri"/>
          <w:lang w:val="fr-FR"/>
        </w:rPr>
        <w:t>’</w:t>
      </w:r>
      <w:r w:rsidR="00E8543F" w:rsidRPr="00E267AB">
        <w:rPr>
          <w:rFonts w:eastAsia="Calibri"/>
          <w:lang w:val="fr-FR"/>
        </w:rPr>
        <w:t>audition d</w:t>
      </w:r>
      <w:r w:rsidR="00E267AB" w:rsidRPr="00E267AB">
        <w:rPr>
          <w:rFonts w:eastAsia="Calibri"/>
          <w:lang w:val="fr-FR"/>
        </w:rPr>
        <w:t>’</w:t>
      </w:r>
      <w:r w:rsidR="00E8543F" w:rsidRPr="00E267AB">
        <w:rPr>
          <w:rFonts w:eastAsia="Calibri"/>
          <w:lang w:val="fr-FR"/>
        </w:rPr>
        <w:t xml:space="preserve">un enfant âgé de douze ans ou plus jeune </w:t>
      </w:r>
      <w:r w:rsidR="00E8543F" w:rsidRPr="00E267AB">
        <w:rPr>
          <w:rFonts w:eastAsia="Calibri"/>
          <w:color w:val="000000"/>
          <w:lang w:val="fr-FR"/>
        </w:rPr>
        <w:t xml:space="preserve">et ce en fonction de sa </w:t>
      </w:r>
      <w:r w:rsidR="00E8543F" w:rsidRPr="00E267AB">
        <w:rPr>
          <w:rFonts w:eastAsia="Calibri"/>
          <w:lang w:val="fr-FR"/>
        </w:rPr>
        <w:t>capacité de discernement</w:t>
      </w:r>
      <w:r w:rsidR="00E8543F" w:rsidRPr="00E267AB">
        <w:rPr>
          <w:rFonts w:eastAsia="Calibri"/>
          <w:color w:val="000000"/>
          <w:lang w:val="fr-FR"/>
        </w:rPr>
        <w:t> ; 2) différer,</w:t>
      </w:r>
      <w:r w:rsidR="00E8543F" w:rsidRPr="00E267AB">
        <w:rPr>
          <w:rFonts w:eastAsia="Calibri"/>
          <w:lang w:val="fr-FR"/>
        </w:rPr>
        <w:t xml:space="preserve"> après avoir obtenu le consentement des parties, l</w:t>
      </w:r>
      <w:r w:rsidR="00E267AB" w:rsidRPr="00E267AB">
        <w:rPr>
          <w:rFonts w:eastAsia="Calibri"/>
          <w:lang w:val="fr-FR"/>
        </w:rPr>
        <w:t>’</w:t>
      </w:r>
      <w:r w:rsidR="00E8543F" w:rsidRPr="00E267AB">
        <w:rPr>
          <w:rFonts w:eastAsia="Calibri"/>
          <w:lang w:val="fr-FR"/>
        </w:rPr>
        <w:t>adoption des décisi</w:t>
      </w:r>
      <w:r w:rsidRPr="00E267AB">
        <w:rPr>
          <w:rFonts w:eastAsia="Calibri"/>
          <w:lang w:val="fr-FR"/>
        </w:rPr>
        <w:t>ons mentionnées à l</w:t>
      </w:r>
      <w:r w:rsidR="00E267AB" w:rsidRPr="00E267AB">
        <w:rPr>
          <w:rFonts w:eastAsia="Calibri"/>
          <w:lang w:val="fr-FR"/>
        </w:rPr>
        <w:t>’</w:t>
      </w:r>
      <w:r w:rsidRPr="00E267AB">
        <w:rPr>
          <w:rFonts w:eastAsia="Calibri"/>
          <w:lang w:val="fr-FR"/>
        </w:rPr>
        <w:t>article 337</w:t>
      </w:r>
      <w:r w:rsidR="00E8543F" w:rsidRPr="00E267AB">
        <w:rPr>
          <w:rFonts w:eastAsia="Calibri"/>
          <w:i/>
          <w:lang w:val="fr-FR"/>
        </w:rPr>
        <w:t xml:space="preserve">ter </w:t>
      </w:r>
      <w:r w:rsidR="00E8543F" w:rsidRPr="00E267AB">
        <w:rPr>
          <w:rFonts w:eastAsia="Calibri"/>
          <w:lang w:val="fr-FR"/>
        </w:rPr>
        <w:t>et ordonner aux partie</w:t>
      </w:r>
      <w:r w:rsidR="00E8543F" w:rsidRPr="00E267AB">
        <w:rPr>
          <w:rFonts w:eastAsia="Calibri"/>
          <w:color w:val="000000"/>
          <w:lang w:val="fr-FR"/>
        </w:rPr>
        <w:t>s</w:t>
      </w:r>
      <w:r w:rsidR="00E8543F" w:rsidRPr="00E267AB">
        <w:rPr>
          <w:rFonts w:eastAsia="Calibri"/>
          <w:lang w:val="fr-FR"/>
        </w:rPr>
        <w:t xml:space="preserve"> de suivre une procédure de médiation familiale afin de parvenir à un accord dans l</w:t>
      </w:r>
      <w:r w:rsidR="00E267AB" w:rsidRPr="00E267AB">
        <w:rPr>
          <w:rFonts w:eastAsia="Calibri"/>
          <w:lang w:val="fr-FR"/>
        </w:rPr>
        <w:t>’</w:t>
      </w:r>
      <w:r w:rsidR="00E8543F" w:rsidRPr="00E267AB">
        <w:rPr>
          <w:rFonts w:eastAsia="Calibri"/>
          <w:lang w:val="fr-FR"/>
        </w:rPr>
        <w:t>intérêt moral et matériel des enfants.</w:t>
      </w:r>
    </w:p>
    <w:p w:rsidR="008024AE" w:rsidRPr="00E267AB" w:rsidRDefault="008024AE" w:rsidP="00E267AB">
      <w:pPr>
        <w:pStyle w:val="ECHRTitle1"/>
        <w:tabs>
          <w:tab w:val="left" w:pos="5387"/>
        </w:tabs>
        <w:rPr>
          <w:lang w:val="fr-FR"/>
        </w:rPr>
      </w:pPr>
      <w:r w:rsidRPr="00E267AB">
        <w:rPr>
          <w:lang w:val="fr-FR"/>
        </w:rPr>
        <w:t>EN DROIT</w:t>
      </w:r>
    </w:p>
    <w:p w:rsidR="00E77CB3" w:rsidRPr="00E267AB" w:rsidRDefault="005A6987" w:rsidP="00E267AB">
      <w:pPr>
        <w:pStyle w:val="ECHRHeading1"/>
        <w:rPr>
          <w:lang w:val="fr-FR"/>
        </w:rPr>
      </w:pPr>
      <w:r w:rsidRPr="00E267AB">
        <w:rPr>
          <w:lang w:val="fr-FR"/>
        </w:rPr>
        <w:t>I</w:t>
      </w:r>
      <w:r w:rsidR="00E77CB3" w:rsidRPr="00E267AB">
        <w:rPr>
          <w:lang w:val="fr-FR"/>
        </w:rPr>
        <w:t>.  SUR LA VIOLATION ALLÉGUÉE DE L</w:t>
      </w:r>
      <w:r w:rsidR="00E267AB" w:rsidRPr="00E267AB">
        <w:rPr>
          <w:lang w:val="fr-FR"/>
        </w:rPr>
        <w:t>’</w:t>
      </w:r>
      <w:r w:rsidR="00E77CB3" w:rsidRPr="00E267AB">
        <w:rPr>
          <w:lang w:val="fr-FR"/>
        </w:rPr>
        <w:t xml:space="preserve">ARTICLE </w:t>
      </w:r>
      <w:r w:rsidR="00BA6D83" w:rsidRPr="00E267AB">
        <w:rPr>
          <w:lang w:val="fr-FR"/>
        </w:rPr>
        <w:t>8</w:t>
      </w:r>
      <w:r w:rsidR="00E77CB3" w:rsidRPr="00E267AB">
        <w:rPr>
          <w:lang w:val="fr-FR"/>
        </w:rPr>
        <w:t xml:space="preserve"> DE LA CONVENTION</w:t>
      </w:r>
    </w:p>
    <w:p w:rsidR="00B21E1F" w:rsidRPr="00E267AB" w:rsidRDefault="00806587"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79</w:t>
      </w:r>
      <w:r w:rsidRPr="00E267AB">
        <w:rPr>
          <w:lang w:val="fr-FR"/>
        </w:rPr>
        <w:fldChar w:fldCharType="end"/>
      </w:r>
      <w:r w:rsidRPr="00E267AB">
        <w:rPr>
          <w:lang w:val="fr-FR"/>
        </w:rPr>
        <w:t xml:space="preserve">.  Le requérant </w:t>
      </w:r>
      <w:r w:rsidR="00D45500" w:rsidRPr="00E267AB">
        <w:rPr>
          <w:lang w:val="fr-FR"/>
        </w:rPr>
        <w:t xml:space="preserve">se plaint </w:t>
      </w:r>
      <w:r w:rsidRPr="00E267AB">
        <w:rPr>
          <w:lang w:val="fr-FR"/>
        </w:rPr>
        <w:t>d</w:t>
      </w:r>
      <w:r w:rsidR="00E267AB" w:rsidRPr="00E267AB">
        <w:rPr>
          <w:lang w:val="fr-FR"/>
        </w:rPr>
        <w:t>’</w:t>
      </w:r>
      <w:r w:rsidRPr="00E267AB">
        <w:rPr>
          <w:lang w:val="fr-FR"/>
        </w:rPr>
        <w:t>une violation de son droit au respect de sa vie familiale au motif qu</w:t>
      </w:r>
      <w:r w:rsidR="00E267AB" w:rsidRPr="00E267AB">
        <w:rPr>
          <w:lang w:val="fr-FR"/>
        </w:rPr>
        <w:t>’</w:t>
      </w:r>
      <w:r w:rsidR="00D45500" w:rsidRPr="00E267AB">
        <w:rPr>
          <w:lang w:val="fr-FR"/>
        </w:rPr>
        <w:t>il n</w:t>
      </w:r>
      <w:r w:rsidR="00E267AB" w:rsidRPr="00E267AB">
        <w:rPr>
          <w:lang w:val="fr-FR"/>
        </w:rPr>
        <w:t>’</w:t>
      </w:r>
      <w:r w:rsidR="00D45500" w:rsidRPr="00E267AB">
        <w:rPr>
          <w:lang w:val="fr-FR"/>
        </w:rPr>
        <w:t>a pas pu exercer pleinement son droit de visite pendant sept ans, et ce</w:t>
      </w:r>
      <w:r w:rsidR="0027196C" w:rsidRPr="00E267AB">
        <w:rPr>
          <w:lang w:val="fr-FR"/>
        </w:rPr>
        <w:t xml:space="preserve"> malgré</w:t>
      </w:r>
      <w:r w:rsidRPr="00E267AB">
        <w:rPr>
          <w:lang w:val="fr-FR"/>
        </w:rPr>
        <w:t xml:space="preserve"> l</w:t>
      </w:r>
      <w:r w:rsidR="00E267AB" w:rsidRPr="00E267AB">
        <w:rPr>
          <w:lang w:val="fr-FR"/>
        </w:rPr>
        <w:t>’</w:t>
      </w:r>
      <w:r w:rsidRPr="00E267AB">
        <w:rPr>
          <w:lang w:val="fr-FR"/>
        </w:rPr>
        <w:t>existence de plusieurs décisions du tribunal de Pise, de la cour d</w:t>
      </w:r>
      <w:r w:rsidR="00E267AB" w:rsidRPr="00E267AB">
        <w:rPr>
          <w:lang w:val="fr-FR"/>
        </w:rPr>
        <w:t>’</w:t>
      </w:r>
      <w:r w:rsidRPr="00E267AB">
        <w:rPr>
          <w:lang w:val="fr-FR"/>
        </w:rPr>
        <w:t>appel de Florence et du tribunal pour enfants de Florence fixant les conditions d</w:t>
      </w:r>
      <w:r w:rsidR="00E267AB" w:rsidRPr="00E267AB">
        <w:rPr>
          <w:lang w:val="fr-FR"/>
        </w:rPr>
        <w:t>’</w:t>
      </w:r>
      <w:r w:rsidRPr="00E267AB">
        <w:rPr>
          <w:lang w:val="fr-FR"/>
        </w:rPr>
        <w:t xml:space="preserve">exercice de </w:t>
      </w:r>
      <w:r w:rsidR="00D45500" w:rsidRPr="00E267AB">
        <w:rPr>
          <w:lang w:val="fr-FR"/>
        </w:rPr>
        <w:t>ce</w:t>
      </w:r>
      <w:r w:rsidRPr="00E267AB">
        <w:rPr>
          <w:lang w:val="fr-FR"/>
        </w:rPr>
        <w:t xml:space="preserve"> droit. Il reproche aux juridictions internes de ne pas avoir mis en place de</w:t>
      </w:r>
      <w:r w:rsidR="00DF2037" w:rsidRPr="00E267AB">
        <w:rPr>
          <w:lang w:val="fr-FR"/>
        </w:rPr>
        <w:t>s</w:t>
      </w:r>
      <w:r w:rsidRPr="00E267AB">
        <w:rPr>
          <w:lang w:val="fr-FR"/>
        </w:rPr>
        <w:t xml:space="preserve"> mesures </w:t>
      </w:r>
      <w:r w:rsidR="00D45500" w:rsidRPr="00E267AB">
        <w:rPr>
          <w:lang w:val="fr-FR"/>
        </w:rPr>
        <w:t xml:space="preserve">qui lui auraient permis </w:t>
      </w:r>
      <w:r w:rsidRPr="00E267AB">
        <w:rPr>
          <w:lang w:val="fr-FR"/>
        </w:rPr>
        <w:t xml:space="preserve">de préserver le lien avec sa fille et </w:t>
      </w:r>
      <w:r w:rsidR="006758AE" w:rsidRPr="00E267AB">
        <w:rPr>
          <w:lang w:val="fr-FR"/>
        </w:rPr>
        <w:t>d</w:t>
      </w:r>
      <w:r w:rsidR="00E267AB" w:rsidRPr="00E267AB">
        <w:rPr>
          <w:lang w:val="fr-FR"/>
        </w:rPr>
        <w:t>’</w:t>
      </w:r>
      <w:r w:rsidR="006758AE" w:rsidRPr="00E267AB">
        <w:rPr>
          <w:lang w:val="fr-FR"/>
        </w:rPr>
        <w:t>avoir</w:t>
      </w:r>
      <w:r w:rsidR="00C96DAD" w:rsidRPr="00E267AB">
        <w:rPr>
          <w:lang w:val="fr-FR"/>
        </w:rPr>
        <w:t>,</w:t>
      </w:r>
      <w:r w:rsidR="006758AE" w:rsidRPr="00E267AB">
        <w:rPr>
          <w:lang w:val="fr-FR"/>
        </w:rPr>
        <w:t xml:space="preserve"> </w:t>
      </w:r>
      <w:r w:rsidRPr="00E267AB">
        <w:rPr>
          <w:lang w:val="fr-FR"/>
        </w:rPr>
        <w:t>par conséquent</w:t>
      </w:r>
      <w:r w:rsidR="00C96DAD" w:rsidRPr="00E267AB">
        <w:rPr>
          <w:lang w:val="fr-FR"/>
        </w:rPr>
        <w:t>,</w:t>
      </w:r>
      <w:r w:rsidRPr="00E267AB">
        <w:rPr>
          <w:lang w:val="fr-FR"/>
        </w:rPr>
        <w:t xml:space="preserve"> laissé le temps à </w:t>
      </w:r>
      <w:r w:rsidR="006758AE" w:rsidRPr="00E267AB">
        <w:rPr>
          <w:lang w:val="fr-FR"/>
        </w:rPr>
        <w:t>son ex-épouse</w:t>
      </w:r>
      <w:r w:rsidRPr="00E267AB">
        <w:rPr>
          <w:lang w:val="fr-FR"/>
        </w:rPr>
        <w:t xml:space="preserve"> de </w:t>
      </w:r>
      <w:r w:rsidR="00A036C3" w:rsidRPr="00E267AB">
        <w:rPr>
          <w:lang w:val="fr-FR"/>
        </w:rPr>
        <w:t>dresser l</w:t>
      </w:r>
      <w:r w:rsidR="00E267AB" w:rsidRPr="00E267AB">
        <w:rPr>
          <w:lang w:val="fr-FR"/>
        </w:rPr>
        <w:t>’</w:t>
      </w:r>
      <w:r w:rsidR="00A036C3" w:rsidRPr="00E267AB">
        <w:rPr>
          <w:lang w:val="fr-FR"/>
        </w:rPr>
        <w:t>enfant contre lui</w:t>
      </w:r>
      <w:r w:rsidRPr="00E267AB">
        <w:rPr>
          <w:lang w:val="fr-FR"/>
        </w:rPr>
        <w:t>. Il dénonce</w:t>
      </w:r>
      <w:r w:rsidR="00D45500" w:rsidRPr="00E267AB">
        <w:rPr>
          <w:lang w:val="fr-FR"/>
        </w:rPr>
        <w:t xml:space="preserve"> une </w:t>
      </w:r>
      <w:r w:rsidRPr="00E267AB">
        <w:rPr>
          <w:lang w:val="fr-FR"/>
        </w:rPr>
        <w:t>inertie des autorités face au comportement de N.R</w:t>
      </w:r>
      <w:r w:rsidR="0027196C" w:rsidRPr="00E267AB">
        <w:rPr>
          <w:lang w:val="fr-FR"/>
        </w:rPr>
        <w:t>.</w:t>
      </w:r>
      <w:r w:rsidR="006758AE" w:rsidRPr="00E267AB">
        <w:rPr>
          <w:lang w:val="fr-FR"/>
        </w:rPr>
        <w:t>,</w:t>
      </w:r>
      <w:r w:rsidRPr="00E267AB">
        <w:rPr>
          <w:lang w:val="fr-FR"/>
        </w:rPr>
        <w:t xml:space="preserve"> alléguant qu</w:t>
      </w:r>
      <w:r w:rsidR="006758AE" w:rsidRPr="00E267AB">
        <w:rPr>
          <w:lang w:val="fr-FR"/>
        </w:rPr>
        <w:t>e c</w:t>
      </w:r>
      <w:r w:rsidRPr="00E267AB">
        <w:rPr>
          <w:lang w:val="fr-FR"/>
        </w:rPr>
        <w:t>elles</w:t>
      </w:r>
      <w:r w:rsidR="006758AE" w:rsidRPr="00E267AB">
        <w:rPr>
          <w:lang w:val="fr-FR"/>
        </w:rPr>
        <w:t>-ci</w:t>
      </w:r>
      <w:r w:rsidRPr="00E267AB">
        <w:rPr>
          <w:lang w:val="fr-FR"/>
        </w:rPr>
        <w:t xml:space="preserve"> n</w:t>
      </w:r>
      <w:r w:rsidR="00E267AB" w:rsidRPr="00E267AB">
        <w:rPr>
          <w:lang w:val="fr-FR"/>
        </w:rPr>
        <w:t>’</w:t>
      </w:r>
      <w:r w:rsidRPr="00E267AB">
        <w:rPr>
          <w:lang w:val="fr-FR"/>
        </w:rPr>
        <w:t>ont pas déployé d</w:t>
      </w:r>
      <w:r w:rsidR="00E267AB" w:rsidRPr="00E267AB">
        <w:rPr>
          <w:lang w:val="fr-FR"/>
        </w:rPr>
        <w:t>’</w:t>
      </w:r>
      <w:r w:rsidRPr="00E267AB">
        <w:rPr>
          <w:lang w:val="fr-FR"/>
        </w:rPr>
        <w:t>efforts</w:t>
      </w:r>
      <w:r w:rsidR="006758AE" w:rsidRPr="00E267AB">
        <w:rPr>
          <w:lang w:val="fr-FR"/>
        </w:rPr>
        <w:t xml:space="preserve"> </w:t>
      </w:r>
      <w:r w:rsidR="00386BAA" w:rsidRPr="00E267AB">
        <w:rPr>
          <w:lang w:val="fr-FR"/>
        </w:rPr>
        <w:t>ni</w:t>
      </w:r>
      <w:r w:rsidRPr="00E267AB">
        <w:rPr>
          <w:lang w:val="fr-FR"/>
        </w:rPr>
        <w:t xml:space="preserve"> pris de mesures provisoires pour lui permettre d</w:t>
      </w:r>
      <w:r w:rsidR="00E267AB" w:rsidRPr="00E267AB">
        <w:rPr>
          <w:lang w:val="fr-FR"/>
        </w:rPr>
        <w:t>’</w:t>
      </w:r>
      <w:r w:rsidRPr="00E267AB">
        <w:rPr>
          <w:lang w:val="fr-FR"/>
        </w:rPr>
        <w:t>exercer son droit de visite et empêcher l</w:t>
      </w:r>
      <w:r w:rsidR="00E267AB" w:rsidRPr="00E267AB">
        <w:rPr>
          <w:lang w:val="fr-FR"/>
        </w:rPr>
        <w:t>’</w:t>
      </w:r>
      <w:r w:rsidR="0027196C" w:rsidRPr="00E267AB">
        <w:rPr>
          <w:lang w:val="fr-FR"/>
        </w:rPr>
        <w:t xml:space="preserve">aliénation parentale </w:t>
      </w:r>
      <w:r w:rsidR="00265EBB" w:rsidRPr="00E267AB">
        <w:rPr>
          <w:lang w:val="fr-FR"/>
        </w:rPr>
        <w:t>qui aurait été observée chez</w:t>
      </w:r>
      <w:r w:rsidRPr="00E267AB">
        <w:rPr>
          <w:lang w:val="fr-FR"/>
        </w:rPr>
        <w:t xml:space="preserve"> sa fille. Il invoque les ar</w:t>
      </w:r>
      <w:r w:rsidR="00E03723" w:rsidRPr="00E267AB">
        <w:rPr>
          <w:lang w:val="fr-FR"/>
        </w:rPr>
        <w:t>ticles 8 et 14 de la Convention</w:t>
      </w:r>
      <w:r w:rsidR="008024AE" w:rsidRPr="00E267AB">
        <w:rPr>
          <w:lang w:val="fr-FR"/>
        </w:rPr>
        <w:t xml:space="preserve"> au motif qu</w:t>
      </w:r>
      <w:r w:rsidR="00E267AB" w:rsidRPr="00E267AB">
        <w:rPr>
          <w:lang w:val="fr-FR"/>
        </w:rPr>
        <w:t>’</w:t>
      </w:r>
      <w:r w:rsidR="008024AE" w:rsidRPr="00E267AB">
        <w:rPr>
          <w:lang w:val="fr-FR"/>
        </w:rPr>
        <w:t xml:space="preserve">il serait discriminé </w:t>
      </w:r>
      <w:r w:rsidR="007732EA" w:rsidRPr="00E267AB">
        <w:rPr>
          <w:lang w:val="fr-FR"/>
        </w:rPr>
        <w:t xml:space="preserve">par les juridictions </w:t>
      </w:r>
      <w:r w:rsidR="008024AE" w:rsidRPr="00E267AB">
        <w:rPr>
          <w:lang w:val="fr-FR"/>
        </w:rPr>
        <w:t>en tant que père</w:t>
      </w:r>
      <w:r w:rsidR="007732EA" w:rsidRPr="00E267AB">
        <w:rPr>
          <w:lang w:val="fr-FR"/>
        </w:rPr>
        <w:t>.</w:t>
      </w:r>
    </w:p>
    <w:p w:rsidR="00B71D1C" w:rsidRPr="00E267AB" w:rsidRDefault="00BA6D83"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80</w:t>
      </w:r>
      <w:r w:rsidRPr="00E267AB">
        <w:rPr>
          <w:lang w:val="fr-FR"/>
        </w:rPr>
        <w:fldChar w:fldCharType="end"/>
      </w:r>
      <w:r w:rsidRPr="00E267AB">
        <w:rPr>
          <w:lang w:val="fr-FR"/>
        </w:rPr>
        <w:t>.  </w:t>
      </w:r>
      <w:r w:rsidR="000C42AF" w:rsidRPr="00E267AB">
        <w:rPr>
          <w:rFonts w:eastAsia="Times New Roman"/>
          <w:lang w:val="fr-FR"/>
        </w:rPr>
        <w:t>Maîtresse de la qualification juridique des faits de la cause, la Cour estime approprié d</w:t>
      </w:r>
      <w:r w:rsidR="00E267AB" w:rsidRPr="00E267AB">
        <w:rPr>
          <w:rFonts w:eastAsia="Times New Roman"/>
          <w:lang w:val="fr-FR"/>
        </w:rPr>
        <w:t>’</w:t>
      </w:r>
      <w:r w:rsidR="000C42AF" w:rsidRPr="00E267AB">
        <w:rPr>
          <w:rFonts w:eastAsia="Times New Roman"/>
          <w:lang w:val="fr-FR"/>
        </w:rPr>
        <w:t>examiner les griefs soulevés par la requérante uniquement sous l</w:t>
      </w:r>
      <w:r w:rsidR="00E267AB" w:rsidRPr="00E267AB">
        <w:rPr>
          <w:rFonts w:eastAsia="Times New Roman"/>
          <w:lang w:val="fr-FR"/>
        </w:rPr>
        <w:t>’</w:t>
      </w:r>
      <w:r w:rsidR="000C42AF" w:rsidRPr="00E267AB">
        <w:rPr>
          <w:rFonts w:eastAsia="Times New Roman"/>
          <w:lang w:val="fr-FR"/>
        </w:rPr>
        <w:t>angle de l</w:t>
      </w:r>
      <w:r w:rsidR="00E267AB" w:rsidRPr="00E267AB">
        <w:rPr>
          <w:rFonts w:eastAsia="Times New Roman"/>
          <w:lang w:val="fr-FR"/>
        </w:rPr>
        <w:t>’</w:t>
      </w:r>
      <w:r w:rsidR="000C42AF" w:rsidRPr="00E267AB">
        <w:rPr>
          <w:rFonts w:eastAsia="Times New Roman"/>
          <w:lang w:val="fr-FR"/>
        </w:rPr>
        <w:t>article 8, lequel exige que le processus décisionnel débouchant sur des mesures d</w:t>
      </w:r>
      <w:r w:rsidR="00E267AB" w:rsidRPr="00E267AB">
        <w:rPr>
          <w:rFonts w:eastAsia="Times New Roman"/>
          <w:lang w:val="fr-FR"/>
        </w:rPr>
        <w:t>’</w:t>
      </w:r>
      <w:r w:rsidR="000C42AF" w:rsidRPr="00E267AB">
        <w:rPr>
          <w:rFonts w:eastAsia="Times New Roman"/>
          <w:lang w:val="fr-FR"/>
        </w:rPr>
        <w:t>ingérence soit équitable et respecte, comme il se doit, les intérêts protégés par cette disposition (</w:t>
      </w:r>
      <w:r w:rsidR="000C42AF" w:rsidRPr="00E267AB">
        <w:rPr>
          <w:i/>
          <w:lang w:val="fr-FR"/>
        </w:rPr>
        <w:t>Moretti et Benedetti c. Italie</w:t>
      </w:r>
      <w:r w:rsidR="000C42AF" w:rsidRPr="00E267AB">
        <w:rPr>
          <w:lang w:val="fr-FR"/>
        </w:rPr>
        <w:t>, n</w:t>
      </w:r>
      <w:r w:rsidR="000C42AF" w:rsidRPr="00E267AB">
        <w:rPr>
          <w:vertAlign w:val="superscript"/>
          <w:lang w:val="fr-FR"/>
        </w:rPr>
        <w:t>o</w:t>
      </w:r>
      <w:r w:rsidR="000C42AF" w:rsidRPr="00E267AB">
        <w:rPr>
          <w:lang w:val="fr-FR"/>
        </w:rPr>
        <w:t xml:space="preserve"> 16318/07</w:t>
      </w:r>
      <w:r w:rsidR="000C42AF" w:rsidRPr="00E267AB">
        <w:rPr>
          <w:szCs w:val="24"/>
          <w:lang w:val="fr-FR"/>
        </w:rPr>
        <w:t xml:space="preserve">, § 27, </w:t>
      </w:r>
      <w:r w:rsidR="000C42AF" w:rsidRPr="00E267AB">
        <w:rPr>
          <w:lang w:val="fr-FR"/>
        </w:rPr>
        <w:t>27 avril 2010 </w:t>
      </w:r>
      <w:r w:rsidR="000C42AF" w:rsidRPr="00E267AB">
        <w:rPr>
          <w:rFonts w:eastAsia="Times New Roman"/>
          <w:lang w:val="fr-FR"/>
        </w:rPr>
        <w:t xml:space="preserve">; </w:t>
      </w:r>
      <w:r w:rsidR="000C42AF" w:rsidRPr="00E267AB">
        <w:rPr>
          <w:rFonts w:eastAsia="Times New Roman"/>
          <w:i/>
          <w:lang w:val="fr-FR"/>
        </w:rPr>
        <w:t>Havelka et autres c. République tchèque,</w:t>
      </w:r>
      <w:r w:rsidR="000C42AF" w:rsidRPr="00E267AB">
        <w:rPr>
          <w:rFonts w:eastAsia="Times New Roman"/>
          <w:lang w:val="fr-FR"/>
        </w:rPr>
        <w:t xml:space="preserve"> n</w:t>
      </w:r>
      <w:r w:rsidR="000C42AF" w:rsidRPr="00E267AB">
        <w:rPr>
          <w:rFonts w:eastAsia="Times New Roman"/>
          <w:vertAlign w:val="superscript"/>
          <w:lang w:val="fr-FR"/>
        </w:rPr>
        <w:t>o</w:t>
      </w:r>
      <w:r w:rsidR="000C42AF" w:rsidRPr="00E267AB">
        <w:rPr>
          <w:rFonts w:eastAsia="Times New Roman"/>
          <w:lang w:val="fr-FR"/>
        </w:rPr>
        <w:t xml:space="preserve"> </w:t>
      </w:r>
      <w:hyperlink r:id="rId14" w:anchor="%7B" w:tgtFrame="_blank" w:history="1">
        <w:r w:rsidR="000C42AF" w:rsidRPr="00E267AB">
          <w:rPr>
            <w:rFonts w:eastAsia="Times New Roman"/>
            <w:lang w:val="fr-FR"/>
          </w:rPr>
          <w:t>23499/06</w:t>
        </w:r>
      </w:hyperlink>
      <w:r w:rsidR="000C42AF" w:rsidRPr="00E267AB">
        <w:rPr>
          <w:rFonts w:eastAsia="Times New Roman"/>
          <w:lang w:val="fr-FR"/>
        </w:rPr>
        <w:t xml:space="preserve">, §§ 34-35, 21 juin 2007 ; </w:t>
      </w:r>
      <w:r w:rsidR="000C42AF" w:rsidRPr="00E267AB">
        <w:rPr>
          <w:rFonts w:eastAsia="Times New Roman"/>
          <w:i/>
          <w:lang w:val="fr-FR"/>
        </w:rPr>
        <w:t>Kutzner c. Allemagne</w:t>
      </w:r>
      <w:r w:rsidR="000C42AF" w:rsidRPr="00E267AB">
        <w:rPr>
          <w:rFonts w:eastAsia="Times New Roman"/>
          <w:lang w:val="fr-FR"/>
        </w:rPr>
        <w:t>, n</w:t>
      </w:r>
      <w:r w:rsidR="000C42AF" w:rsidRPr="00E267AB">
        <w:rPr>
          <w:rFonts w:eastAsia="Times New Roman"/>
          <w:vertAlign w:val="superscript"/>
          <w:lang w:val="fr-FR"/>
        </w:rPr>
        <w:t>o</w:t>
      </w:r>
      <w:r w:rsidR="000C42AF" w:rsidRPr="00E267AB">
        <w:rPr>
          <w:rFonts w:eastAsia="Times New Roman"/>
          <w:lang w:val="fr-FR"/>
        </w:rPr>
        <w:t xml:space="preserve"> </w:t>
      </w:r>
      <w:hyperlink r:id="rId15" w:anchor="%7B" w:tgtFrame="_blank" w:history="1">
        <w:r w:rsidR="000C42AF" w:rsidRPr="00E267AB">
          <w:rPr>
            <w:rFonts w:eastAsia="Times New Roman"/>
            <w:lang w:val="fr-FR"/>
          </w:rPr>
          <w:t>46544/99</w:t>
        </w:r>
      </w:hyperlink>
      <w:r w:rsidR="000C42AF" w:rsidRPr="00E267AB">
        <w:rPr>
          <w:rFonts w:eastAsia="Times New Roman"/>
          <w:lang w:val="fr-FR"/>
        </w:rPr>
        <w:t xml:space="preserve">, § 56, CEDH 2002-I ; </w:t>
      </w:r>
      <w:r w:rsidR="000C42AF" w:rsidRPr="00E267AB">
        <w:rPr>
          <w:rFonts w:eastAsia="Times New Roman"/>
          <w:i/>
          <w:lang w:val="fr-FR"/>
        </w:rPr>
        <w:t>Wallová et Walla</w:t>
      </w:r>
      <w:r w:rsidR="000C42AF" w:rsidRPr="00E267AB">
        <w:rPr>
          <w:rFonts w:eastAsia="Times New Roman"/>
          <w:lang w:val="fr-FR"/>
        </w:rPr>
        <w:t xml:space="preserve"> </w:t>
      </w:r>
      <w:r w:rsidR="000C42AF" w:rsidRPr="00E267AB">
        <w:rPr>
          <w:rFonts w:eastAsia="Times New Roman"/>
          <w:i/>
          <w:lang w:val="fr-FR"/>
        </w:rPr>
        <w:t>c.</w:t>
      </w:r>
      <w:r w:rsidR="007149EA" w:rsidRPr="00E267AB">
        <w:rPr>
          <w:rFonts w:eastAsia="Times New Roman"/>
          <w:i/>
          <w:lang w:val="fr-FR"/>
        </w:rPr>
        <w:t> </w:t>
      </w:r>
      <w:r w:rsidR="000C42AF" w:rsidRPr="00E267AB">
        <w:rPr>
          <w:rFonts w:eastAsia="Times New Roman"/>
          <w:i/>
          <w:lang w:val="fr-FR"/>
        </w:rPr>
        <w:t>République tchèque</w:t>
      </w:r>
      <w:r w:rsidR="000C42AF" w:rsidRPr="00E267AB">
        <w:rPr>
          <w:rFonts w:eastAsia="Times New Roman"/>
          <w:lang w:val="fr-FR"/>
        </w:rPr>
        <w:t>, n</w:t>
      </w:r>
      <w:r w:rsidR="000C42AF" w:rsidRPr="00E267AB">
        <w:rPr>
          <w:rFonts w:eastAsia="Times New Roman"/>
          <w:vertAlign w:val="superscript"/>
          <w:lang w:val="fr-FR"/>
        </w:rPr>
        <w:t>o</w:t>
      </w:r>
      <w:r w:rsidR="000C42AF" w:rsidRPr="00E267AB">
        <w:rPr>
          <w:rFonts w:eastAsia="Times New Roman"/>
          <w:lang w:val="fr-FR"/>
        </w:rPr>
        <w:t xml:space="preserve"> </w:t>
      </w:r>
      <w:hyperlink r:id="rId16" w:anchor="%7B" w:tgtFrame="_blank" w:history="1">
        <w:r w:rsidR="000C42AF" w:rsidRPr="00E267AB">
          <w:rPr>
            <w:rFonts w:eastAsia="Times New Roman"/>
            <w:lang w:val="fr-FR"/>
          </w:rPr>
          <w:t>23848/04</w:t>
        </w:r>
      </w:hyperlink>
      <w:r w:rsidR="000C42AF" w:rsidRPr="00E267AB">
        <w:rPr>
          <w:rFonts w:eastAsia="Times New Roman"/>
          <w:lang w:val="fr-FR"/>
        </w:rPr>
        <w:t>, § 47, 26 octobre 2006)</w:t>
      </w:r>
      <w:r w:rsidR="008D0450" w:rsidRPr="00E267AB">
        <w:rPr>
          <w:lang w:val="fr-FR"/>
        </w:rPr>
        <w:t>.</w:t>
      </w:r>
    </w:p>
    <w:p w:rsidR="008D0450" w:rsidRPr="00E267AB" w:rsidRDefault="008D0450" w:rsidP="00E267AB">
      <w:pPr>
        <w:pStyle w:val="ECHRPara"/>
        <w:rPr>
          <w:i/>
          <w:lang w:val="fr-FR"/>
        </w:rPr>
      </w:pPr>
      <w:r w:rsidRPr="00E267AB">
        <w:rPr>
          <w:lang w:val="fr-FR"/>
        </w:rPr>
        <w:t>L</w:t>
      </w:r>
      <w:r w:rsidR="00E267AB" w:rsidRPr="00E267AB">
        <w:rPr>
          <w:lang w:val="fr-FR"/>
        </w:rPr>
        <w:t>’</w:t>
      </w:r>
      <w:r w:rsidRPr="00E267AB">
        <w:rPr>
          <w:lang w:val="fr-FR"/>
        </w:rPr>
        <w:t>article 8 de la Convention est ainsi libellé :</w:t>
      </w:r>
    </w:p>
    <w:p w:rsidR="000C724B" w:rsidRPr="00E267AB" w:rsidRDefault="000C724B" w:rsidP="00E267AB">
      <w:pPr>
        <w:pStyle w:val="ECHRParaQuote"/>
        <w:rPr>
          <w:lang w:val="fr-FR"/>
        </w:rPr>
      </w:pPr>
      <w:r w:rsidRPr="00E267AB">
        <w:rPr>
          <w:lang w:val="fr-FR"/>
        </w:rPr>
        <w:t>« 1.  Toute personne a droit au respect</w:t>
      </w:r>
      <w:r w:rsidR="00752B00" w:rsidRPr="00E267AB">
        <w:rPr>
          <w:lang w:val="fr-FR"/>
        </w:rPr>
        <w:t xml:space="preserve"> de sa vie privée et familiale (</w:t>
      </w:r>
      <w:r w:rsidR="003C365E" w:rsidRPr="00E267AB">
        <w:rPr>
          <w:lang w:val="fr-FR"/>
        </w:rPr>
        <w:t>...</w:t>
      </w:r>
      <w:r w:rsidR="00752B00" w:rsidRPr="00E267AB">
        <w:rPr>
          <w:lang w:val="fr-FR"/>
        </w:rPr>
        <w:t>)</w:t>
      </w:r>
    </w:p>
    <w:p w:rsidR="00E77CB3" w:rsidRPr="00E267AB" w:rsidRDefault="000C724B" w:rsidP="00E267AB">
      <w:pPr>
        <w:pStyle w:val="ECHRParaQuote"/>
        <w:rPr>
          <w:lang w:val="fr-FR"/>
        </w:rPr>
      </w:pPr>
      <w:r w:rsidRPr="00E267AB">
        <w:rPr>
          <w:lang w:val="fr-FR"/>
        </w:rPr>
        <w:t>2.  Il ne peut y avoir ingérence d</w:t>
      </w:r>
      <w:r w:rsidR="00E267AB" w:rsidRPr="00E267AB">
        <w:rPr>
          <w:lang w:val="fr-FR"/>
        </w:rPr>
        <w:t>’</w:t>
      </w:r>
      <w:r w:rsidRPr="00E267AB">
        <w:rPr>
          <w:lang w:val="fr-FR"/>
        </w:rPr>
        <w:t>une autorité publique dans l</w:t>
      </w:r>
      <w:r w:rsidR="00E267AB" w:rsidRPr="00E267AB">
        <w:rPr>
          <w:lang w:val="fr-FR"/>
        </w:rPr>
        <w:t>’</w:t>
      </w:r>
      <w:r w:rsidRPr="00E267AB">
        <w:rPr>
          <w:lang w:val="fr-FR"/>
        </w:rPr>
        <w:t>exercice de ce droit que pour autant que cette ingérence est prévue par la loi et qu</w:t>
      </w:r>
      <w:r w:rsidR="00E267AB" w:rsidRPr="00E267AB">
        <w:rPr>
          <w:lang w:val="fr-FR"/>
        </w:rPr>
        <w:t>’</w:t>
      </w:r>
      <w:r w:rsidRPr="00E267AB">
        <w:rPr>
          <w:lang w:val="fr-FR"/>
        </w:rPr>
        <w:t>elle constitue une mesure qui, dans une société démocratique, est nécessaire à la sécurité nationale, à la sûreté publique, au bien</w:t>
      </w:r>
      <w:r w:rsidRPr="00E267AB">
        <w:rPr>
          <w:lang w:val="fr-FR"/>
        </w:rPr>
        <w:noBreakHyphen/>
        <w:t>être économique du pays, à la défense de l</w:t>
      </w:r>
      <w:r w:rsidR="00E267AB" w:rsidRPr="00E267AB">
        <w:rPr>
          <w:lang w:val="fr-FR"/>
        </w:rPr>
        <w:t>’</w:t>
      </w:r>
      <w:r w:rsidRPr="00E267AB">
        <w:rPr>
          <w:lang w:val="fr-FR"/>
        </w:rPr>
        <w:t xml:space="preserve">ordre et à la </w:t>
      </w:r>
      <w:r w:rsidRPr="00E267AB">
        <w:rPr>
          <w:lang w:val="fr-FR"/>
        </w:rPr>
        <w:lastRenderedPageBreak/>
        <w:t>prévention des infractions pénales, à la protection de la santé ou de la morale, ou à la protection des droits et libertés d</w:t>
      </w:r>
      <w:r w:rsidR="00E267AB" w:rsidRPr="00E267AB">
        <w:rPr>
          <w:lang w:val="fr-FR"/>
        </w:rPr>
        <w:t>’</w:t>
      </w:r>
      <w:r w:rsidRPr="00E267AB">
        <w:rPr>
          <w:lang w:val="fr-FR"/>
        </w:rPr>
        <w:t>autrui. »</w:t>
      </w:r>
    </w:p>
    <w:p w:rsidR="00E77CB3" w:rsidRPr="00E267AB" w:rsidRDefault="00806587"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81</w:t>
      </w:r>
      <w:r w:rsidRPr="00E267AB">
        <w:rPr>
          <w:lang w:val="fr-FR"/>
        </w:rPr>
        <w:fldChar w:fldCharType="end"/>
      </w:r>
      <w:r w:rsidRPr="00E267AB">
        <w:rPr>
          <w:lang w:val="fr-FR"/>
        </w:rPr>
        <w:t>.  </w:t>
      </w:r>
      <w:r w:rsidR="00E77CB3" w:rsidRPr="00E267AB">
        <w:rPr>
          <w:lang w:val="fr-FR"/>
        </w:rPr>
        <w:t xml:space="preserve">Le Gouvernement </w:t>
      </w:r>
      <w:r w:rsidR="008D0450" w:rsidRPr="00E267AB">
        <w:rPr>
          <w:lang w:val="fr-FR"/>
        </w:rPr>
        <w:t xml:space="preserve">conteste </w:t>
      </w:r>
      <w:r w:rsidR="00090707" w:rsidRPr="00E267AB">
        <w:rPr>
          <w:lang w:val="fr-FR"/>
        </w:rPr>
        <w:t xml:space="preserve">les </w:t>
      </w:r>
      <w:r w:rsidR="007C5B16" w:rsidRPr="00E267AB">
        <w:rPr>
          <w:lang w:val="fr-FR"/>
        </w:rPr>
        <w:t>allégations</w:t>
      </w:r>
      <w:r w:rsidR="00B21E1F" w:rsidRPr="00E267AB">
        <w:rPr>
          <w:lang w:val="fr-FR"/>
        </w:rPr>
        <w:t xml:space="preserve"> </w:t>
      </w:r>
      <w:r w:rsidR="008D0450" w:rsidRPr="00E267AB">
        <w:rPr>
          <w:lang w:val="fr-FR"/>
        </w:rPr>
        <w:t>du requérant</w:t>
      </w:r>
      <w:r w:rsidR="00E77CB3" w:rsidRPr="00E267AB">
        <w:rPr>
          <w:lang w:val="fr-FR"/>
        </w:rPr>
        <w:t>.</w:t>
      </w:r>
    </w:p>
    <w:p w:rsidR="00090707" w:rsidRPr="00E267AB" w:rsidRDefault="00090707" w:rsidP="00E267AB">
      <w:pPr>
        <w:pStyle w:val="ECHRHeading2"/>
        <w:rPr>
          <w:lang w:val="fr-FR"/>
        </w:rPr>
      </w:pPr>
      <w:r w:rsidRPr="00E267AB">
        <w:rPr>
          <w:lang w:val="fr-FR"/>
        </w:rPr>
        <w:t>A.</w:t>
      </w:r>
      <w:r w:rsidR="00B21E1F" w:rsidRPr="00E267AB">
        <w:rPr>
          <w:lang w:val="fr-FR"/>
        </w:rPr>
        <w:t>  </w:t>
      </w:r>
      <w:r w:rsidRPr="00E267AB">
        <w:rPr>
          <w:lang w:val="fr-FR"/>
        </w:rPr>
        <w:t>Objections préliminaires</w:t>
      </w:r>
    </w:p>
    <w:p w:rsidR="006909C1" w:rsidRPr="00E267AB" w:rsidRDefault="006909C1" w:rsidP="00E267AB">
      <w:pPr>
        <w:pStyle w:val="ECHRPara"/>
        <w:rPr>
          <w:rFonts w:eastAsiaTheme="majorEastAsia"/>
          <w:lang w:val="fr-FR"/>
        </w:rPr>
      </w:pPr>
      <w:r w:rsidRPr="00E267AB">
        <w:rPr>
          <w:rFonts w:eastAsiaTheme="majorEastAsia"/>
          <w:lang w:val="fr-FR"/>
        </w:rPr>
        <w:fldChar w:fldCharType="begin"/>
      </w:r>
      <w:r w:rsidRPr="00E267AB">
        <w:rPr>
          <w:rFonts w:eastAsiaTheme="majorEastAsia"/>
          <w:lang w:val="fr-FR"/>
        </w:rPr>
        <w:instrText xml:space="preserve"> SEQ level0 \*arabic </w:instrText>
      </w:r>
      <w:r w:rsidRPr="00E267AB">
        <w:rPr>
          <w:rFonts w:eastAsiaTheme="majorEastAsia"/>
          <w:lang w:val="fr-FR"/>
        </w:rPr>
        <w:fldChar w:fldCharType="separate"/>
      </w:r>
      <w:r w:rsidR="00E267AB" w:rsidRPr="00E267AB">
        <w:rPr>
          <w:rFonts w:eastAsiaTheme="majorEastAsia"/>
          <w:noProof/>
          <w:lang w:val="fr-FR"/>
        </w:rPr>
        <w:t>82</w:t>
      </w:r>
      <w:r w:rsidRPr="00E267AB">
        <w:rPr>
          <w:rFonts w:eastAsiaTheme="majorEastAsia"/>
          <w:lang w:val="fr-FR"/>
        </w:rPr>
        <w:fldChar w:fldCharType="end"/>
      </w:r>
      <w:r w:rsidRPr="00E267AB">
        <w:rPr>
          <w:rFonts w:eastAsiaTheme="majorEastAsia"/>
          <w:lang w:val="fr-FR"/>
        </w:rPr>
        <w:t>.  </w:t>
      </w:r>
      <w:r w:rsidR="00090707" w:rsidRPr="00E267AB">
        <w:rPr>
          <w:rFonts w:eastAsiaTheme="majorEastAsia"/>
          <w:lang w:val="fr-FR"/>
        </w:rPr>
        <w:t>Le Gouvernement estime que la requête est irrecevable au motif que le requérant n</w:t>
      </w:r>
      <w:r w:rsidR="00E267AB" w:rsidRPr="00E267AB">
        <w:rPr>
          <w:rFonts w:eastAsiaTheme="majorEastAsia"/>
          <w:lang w:val="fr-FR"/>
        </w:rPr>
        <w:t>’</w:t>
      </w:r>
      <w:r w:rsidR="00090707" w:rsidRPr="00E267AB">
        <w:rPr>
          <w:rFonts w:eastAsiaTheme="majorEastAsia"/>
          <w:lang w:val="fr-FR"/>
        </w:rPr>
        <w:t>aurait pas respecté l</w:t>
      </w:r>
      <w:r w:rsidR="00E267AB" w:rsidRPr="00E267AB">
        <w:rPr>
          <w:rFonts w:eastAsiaTheme="majorEastAsia"/>
          <w:lang w:val="fr-FR"/>
        </w:rPr>
        <w:t>’</w:t>
      </w:r>
      <w:r w:rsidR="00090707" w:rsidRPr="00E267AB">
        <w:rPr>
          <w:rFonts w:eastAsiaTheme="majorEastAsia"/>
          <w:lang w:val="fr-FR"/>
        </w:rPr>
        <w:t>article 47 du règlement, tel que modifié en 2013 et en vigueur depuis janvier 2014.</w:t>
      </w:r>
      <w:r w:rsidRPr="00E267AB">
        <w:rPr>
          <w:rFonts w:eastAsiaTheme="majorEastAsia"/>
          <w:lang w:val="fr-FR"/>
        </w:rPr>
        <w:t xml:space="preserve"> Il affirme que la Cour n</w:t>
      </w:r>
      <w:r w:rsidR="00E267AB" w:rsidRPr="00E267AB">
        <w:rPr>
          <w:rFonts w:eastAsiaTheme="majorEastAsia"/>
          <w:lang w:val="fr-FR"/>
        </w:rPr>
        <w:t>’</w:t>
      </w:r>
      <w:r w:rsidRPr="00E267AB">
        <w:rPr>
          <w:rFonts w:eastAsiaTheme="majorEastAsia"/>
          <w:lang w:val="fr-FR"/>
        </w:rPr>
        <w:t>a pas été régulièrement saisie au regard de l</w:t>
      </w:r>
      <w:r w:rsidR="00E267AB" w:rsidRPr="00E267AB">
        <w:rPr>
          <w:rFonts w:eastAsiaTheme="majorEastAsia"/>
          <w:lang w:val="fr-FR"/>
        </w:rPr>
        <w:t>’</w:t>
      </w:r>
      <w:r w:rsidRPr="00E267AB">
        <w:rPr>
          <w:rFonts w:eastAsiaTheme="majorEastAsia"/>
          <w:lang w:val="fr-FR"/>
        </w:rPr>
        <w:t>article 47 précité aux motifs que le requérant n</w:t>
      </w:r>
      <w:r w:rsidR="00E267AB" w:rsidRPr="00E267AB">
        <w:rPr>
          <w:rFonts w:eastAsiaTheme="majorEastAsia"/>
          <w:lang w:val="fr-FR"/>
        </w:rPr>
        <w:t>’</w:t>
      </w:r>
      <w:r w:rsidRPr="00E267AB">
        <w:rPr>
          <w:rFonts w:eastAsiaTheme="majorEastAsia"/>
          <w:lang w:val="fr-FR"/>
        </w:rPr>
        <w:t>a pas épuisé les voies de recours internes et qu</w:t>
      </w:r>
      <w:r w:rsidR="00E267AB" w:rsidRPr="00E267AB">
        <w:rPr>
          <w:rFonts w:eastAsiaTheme="majorEastAsia"/>
          <w:lang w:val="fr-FR"/>
        </w:rPr>
        <w:t>’</w:t>
      </w:r>
      <w:r w:rsidRPr="00E267AB">
        <w:rPr>
          <w:rFonts w:eastAsiaTheme="majorEastAsia"/>
          <w:lang w:val="fr-FR"/>
        </w:rPr>
        <w:t>il n</w:t>
      </w:r>
      <w:r w:rsidR="00E267AB" w:rsidRPr="00E267AB">
        <w:rPr>
          <w:rFonts w:eastAsiaTheme="majorEastAsia"/>
          <w:lang w:val="fr-FR"/>
        </w:rPr>
        <w:t>’</w:t>
      </w:r>
      <w:r w:rsidRPr="00E267AB">
        <w:rPr>
          <w:rFonts w:eastAsiaTheme="majorEastAsia"/>
          <w:lang w:val="fr-FR"/>
        </w:rPr>
        <w:t>a pas non plus fourni les informations et les documents pertinents concernant les recours exercés par lui.</w:t>
      </w:r>
    </w:p>
    <w:p w:rsidR="006909C1" w:rsidRPr="00E267AB" w:rsidRDefault="006909C1" w:rsidP="00E267AB">
      <w:pPr>
        <w:pStyle w:val="ECHRPara"/>
        <w:rPr>
          <w:rFonts w:eastAsiaTheme="majorEastAsia"/>
          <w:lang w:val="fr-FR"/>
        </w:rPr>
      </w:pPr>
      <w:r w:rsidRPr="00E267AB">
        <w:rPr>
          <w:rFonts w:eastAsiaTheme="majorEastAsia"/>
          <w:lang w:val="fr-FR"/>
        </w:rPr>
        <w:fldChar w:fldCharType="begin"/>
      </w:r>
      <w:r w:rsidRPr="00E267AB">
        <w:rPr>
          <w:rFonts w:eastAsiaTheme="majorEastAsia"/>
          <w:lang w:val="fr-FR"/>
        </w:rPr>
        <w:instrText xml:space="preserve"> SEQ level0 \*arabic </w:instrText>
      </w:r>
      <w:r w:rsidRPr="00E267AB">
        <w:rPr>
          <w:rFonts w:eastAsiaTheme="majorEastAsia"/>
          <w:lang w:val="fr-FR"/>
        </w:rPr>
        <w:fldChar w:fldCharType="separate"/>
      </w:r>
      <w:r w:rsidR="00E267AB" w:rsidRPr="00E267AB">
        <w:rPr>
          <w:rFonts w:eastAsiaTheme="majorEastAsia"/>
          <w:noProof/>
          <w:lang w:val="fr-FR"/>
        </w:rPr>
        <w:t>83</w:t>
      </w:r>
      <w:r w:rsidRPr="00E267AB">
        <w:rPr>
          <w:rFonts w:eastAsiaTheme="majorEastAsia"/>
          <w:lang w:val="fr-FR"/>
        </w:rPr>
        <w:fldChar w:fldCharType="end"/>
      </w:r>
      <w:r w:rsidRPr="00E267AB">
        <w:rPr>
          <w:rFonts w:eastAsiaTheme="majorEastAsia"/>
          <w:lang w:val="fr-FR"/>
        </w:rPr>
        <w:t>.  Le requérant s</w:t>
      </w:r>
      <w:r w:rsidR="00E267AB" w:rsidRPr="00E267AB">
        <w:rPr>
          <w:rFonts w:eastAsiaTheme="majorEastAsia"/>
          <w:lang w:val="fr-FR"/>
        </w:rPr>
        <w:t>’</w:t>
      </w:r>
      <w:r w:rsidRPr="00E267AB">
        <w:rPr>
          <w:rFonts w:eastAsiaTheme="majorEastAsia"/>
          <w:lang w:val="fr-FR"/>
        </w:rPr>
        <w:t>oppose à la thèse du Gouvernement.</w:t>
      </w:r>
    </w:p>
    <w:p w:rsidR="006909C1" w:rsidRPr="00E267AB" w:rsidRDefault="006909C1" w:rsidP="00E267AB">
      <w:pPr>
        <w:pStyle w:val="ECHRPara"/>
        <w:rPr>
          <w:i/>
          <w:lang w:val="fr-FR"/>
        </w:rPr>
      </w:pPr>
      <w:r w:rsidRPr="00E267AB">
        <w:rPr>
          <w:rFonts w:eastAsiaTheme="majorEastAsia"/>
          <w:lang w:val="fr-FR"/>
        </w:rPr>
        <w:fldChar w:fldCharType="begin"/>
      </w:r>
      <w:r w:rsidRPr="00E267AB">
        <w:rPr>
          <w:rFonts w:eastAsiaTheme="majorEastAsia"/>
          <w:lang w:val="fr-FR"/>
        </w:rPr>
        <w:instrText xml:space="preserve"> SEQ level0 \*arabic </w:instrText>
      </w:r>
      <w:r w:rsidRPr="00E267AB">
        <w:rPr>
          <w:rFonts w:eastAsiaTheme="majorEastAsia"/>
          <w:lang w:val="fr-FR"/>
        </w:rPr>
        <w:fldChar w:fldCharType="separate"/>
      </w:r>
      <w:r w:rsidR="00E267AB" w:rsidRPr="00E267AB">
        <w:rPr>
          <w:rFonts w:eastAsiaTheme="majorEastAsia"/>
          <w:noProof/>
          <w:lang w:val="fr-FR"/>
        </w:rPr>
        <w:t>84</w:t>
      </w:r>
      <w:r w:rsidRPr="00E267AB">
        <w:rPr>
          <w:rFonts w:eastAsiaTheme="majorEastAsia"/>
          <w:lang w:val="fr-FR"/>
        </w:rPr>
        <w:fldChar w:fldCharType="end"/>
      </w:r>
      <w:r w:rsidRPr="00E267AB">
        <w:rPr>
          <w:rFonts w:eastAsiaTheme="majorEastAsia"/>
          <w:lang w:val="fr-FR"/>
        </w:rPr>
        <w:t>.  La Cour</w:t>
      </w:r>
      <w:r w:rsidR="00090707" w:rsidRPr="00E267AB">
        <w:rPr>
          <w:rFonts w:eastAsiaTheme="majorEastAsia"/>
          <w:lang w:val="fr-FR"/>
        </w:rPr>
        <w:t xml:space="preserve"> note que le Gouvernement n</w:t>
      </w:r>
      <w:r w:rsidR="00E267AB" w:rsidRPr="00E267AB">
        <w:rPr>
          <w:rFonts w:eastAsiaTheme="majorEastAsia"/>
          <w:lang w:val="fr-FR"/>
        </w:rPr>
        <w:t>’</w:t>
      </w:r>
      <w:r w:rsidR="00090707" w:rsidRPr="00E267AB">
        <w:rPr>
          <w:rFonts w:eastAsiaTheme="majorEastAsia"/>
          <w:lang w:val="fr-FR"/>
        </w:rPr>
        <w:t>a pas indiqué en quoi le requérant n</w:t>
      </w:r>
      <w:r w:rsidR="00E267AB" w:rsidRPr="00E267AB">
        <w:rPr>
          <w:rFonts w:eastAsiaTheme="majorEastAsia"/>
          <w:lang w:val="fr-FR"/>
        </w:rPr>
        <w:t>’</w:t>
      </w:r>
      <w:r w:rsidR="00090707" w:rsidRPr="00E267AB">
        <w:rPr>
          <w:rFonts w:eastAsiaTheme="majorEastAsia"/>
          <w:lang w:val="fr-FR"/>
        </w:rPr>
        <w:t>aurait pas respecté les instructions énoncées à l</w:t>
      </w:r>
      <w:r w:rsidR="00E267AB" w:rsidRPr="00E267AB">
        <w:rPr>
          <w:rFonts w:eastAsiaTheme="majorEastAsia"/>
          <w:lang w:val="fr-FR"/>
        </w:rPr>
        <w:t>’</w:t>
      </w:r>
      <w:r w:rsidR="00090707" w:rsidRPr="00E267AB">
        <w:rPr>
          <w:rFonts w:eastAsiaTheme="majorEastAsia"/>
          <w:lang w:val="fr-FR"/>
        </w:rPr>
        <w:t>article 47 du règlement. Elle rappelle également que les conditions plus strictes pour l</w:t>
      </w:r>
      <w:r w:rsidR="00E267AB" w:rsidRPr="00E267AB">
        <w:rPr>
          <w:rFonts w:eastAsiaTheme="majorEastAsia"/>
          <w:lang w:val="fr-FR"/>
        </w:rPr>
        <w:t>’</w:t>
      </w:r>
      <w:r w:rsidR="00090707" w:rsidRPr="00E267AB">
        <w:rPr>
          <w:rFonts w:eastAsiaTheme="majorEastAsia"/>
          <w:lang w:val="fr-FR"/>
        </w:rPr>
        <w:t>introduction d</w:t>
      </w:r>
      <w:r w:rsidR="00E267AB" w:rsidRPr="00E267AB">
        <w:rPr>
          <w:rFonts w:eastAsiaTheme="majorEastAsia"/>
          <w:lang w:val="fr-FR"/>
        </w:rPr>
        <w:t>’</w:t>
      </w:r>
      <w:r w:rsidR="00090707" w:rsidRPr="00E267AB">
        <w:rPr>
          <w:rFonts w:eastAsiaTheme="majorEastAsia"/>
          <w:lang w:val="fr-FR"/>
        </w:rPr>
        <w:t>une requête ne sont exigées qu</w:t>
      </w:r>
      <w:r w:rsidR="00E267AB" w:rsidRPr="00E267AB">
        <w:rPr>
          <w:rFonts w:eastAsiaTheme="majorEastAsia"/>
          <w:lang w:val="fr-FR"/>
        </w:rPr>
        <w:t>’</w:t>
      </w:r>
      <w:r w:rsidR="00090707" w:rsidRPr="00E267AB">
        <w:rPr>
          <w:rFonts w:eastAsiaTheme="majorEastAsia"/>
          <w:lang w:val="fr-FR"/>
        </w:rPr>
        <w:t>à partir du 1</w:t>
      </w:r>
      <w:r w:rsidR="00090707" w:rsidRPr="00E267AB">
        <w:rPr>
          <w:rFonts w:eastAsiaTheme="majorEastAsia"/>
          <w:vertAlign w:val="superscript"/>
          <w:lang w:val="fr-FR"/>
        </w:rPr>
        <w:t>er</w:t>
      </w:r>
      <w:r w:rsidR="00090707" w:rsidRPr="00E267AB">
        <w:rPr>
          <w:rFonts w:eastAsiaTheme="majorEastAsia"/>
          <w:lang w:val="fr-FR"/>
        </w:rPr>
        <w:t xml:space="preserve"> janvier 2014 par le nouvel article 47 de son règlement. En l</w:t>
      </w:r>
      <w:r w:rsidR="00E267AB" w:rsidRPr="00E267AB">
        <w:rPr>
          <w:rFonts w:eastAsiaTheme="majorEastAsia"/>
          <w:lang w:val="fr-FR"/>
        </w:rPr>
        <w:t>’</w:t>
      </w:r>
      <w:r w:rsidR="00090707" w:rsidRPr="00E267AB">
        <w:rPr>
          <w:rFonts w:eastAsiaTheme="majorEastAsia"/>
          <w:lang w:val="fr-FR"/>
        </w:rPr>
        <w:t xml:space="preserve">espèce, elle constate que la requête a été introduite le </w:t>
      </w:r>
      <w:r w:rsidRPr="00E267AB">
        <w:rPr>
          <w:rFonts w:eastAsiaTheme="majorEastAsia"/>
          <w:lang w:val="fr-FR"/>
        </w:rPr>
        <w:t>2 août 2013</w:t>
      </w:r>
      <w:r w:rsidR="00090707" w:rsidRPr="00E267AB">
        <w:rPr>
          <w:rFonts w:eastAsiaTheme="majorEastAsia"/>
          <w:lang w:val="fr-FR"/>
        </w:rPr>
        <w:t xml:space="preserve"> et que, par conséquent, il n</w:t>
      </w:r>
      <w:r w:rsidR="00E267AB" w:rsidRPr="00E267AB">
        <w:rPr>
          <w:rFonts w:eastAsiaTheme="majorEastAsia"/>
          <w:lang w:val="fr-FR"/>
        </w:rPr>
        <w:t>’</w:t>
      </w:r>
      <w:r w:rsidR="00090707" w:rsidRPr="00E267AB">
        <w:rPr>
          <w:rFonts w:eastAsiaTheme="majorEastAsia"/>
          <w:lang w:val="fr-FR"/>
        </w:rPr>
        <w:t>y a aucune raison de considérer que le requérant n</w:t>
      </w:r>
      <w:r w:rsidR="00E267AB" w:rsidRPr="00E267AB">
        <w:rPr>
          <w:rFonts w:eastAsiaTheme="majorEastAsia"/>
          <w:lang w:val="fr-FR"/>
        </w:rPr>
        <w:t>’</w:t>
      </w:r>
      <w:r w:rsidR="00090707" w:rsidRPr="00E267AB">
        <w:rPr>
          <w:rFonts w:eastAsiaTheme="majorEastAsia"/>
          <w:lang w:val="fr-FR"/>
        </w:rPr>
        <w:t>a pas respecté les conditions requises par l</w:t>
      </w:r>
      <w:r w:rsidR="00E267AB" w:rsidRPr="00E267AB">
        <w:rPr>
          <w:rFonts w:eastAsiaTheme="majorEastAsia"/>
          <w:lang w:val="fr-FR"/>
        </w:rPr>
        <w:t>’</w:t>
      </w:r>
      <w:r w:rsidR="00090707" w:rsidRPr="00E267AB">
        <w:rPr>
          <w:rFonts w:eastAsiaTheme="majorEastAsia"/>
          <w:lang w:val="fr-FR"/>
        </w:rPr>
        <w:t>article 47 tel qu</w:t>
      </w:r>
      <w:r w:rsidR="00E267AB" w:rsidRPr="00E267AB">
        <w:rPr>
          <w:rFonts w:eastAsiaTheme="majorEastAsia"/>
          <w:lang w:val="fr-FR"/>
        </w:rPr>
        <w:t>’</w:t>
      </w:r>
      <w:r w:rsidR="00090707" w:rsidRPr="00E267AB">
        <w:rPr>
          <w:rFonts w:eastAsiaTheme="majorEastAsia"/>
          <w:lang w:val="fr-FR"/>
        </w:rPr>
        <w:t>en vigueur à l</w:t>
      </w:r>
      <w:r w:rsidR="00E267AB" w:rsidRPr="00E267AB">
        <w:rPr>
          <w:rFonts w:eastAsiaTheme="majorEastAsia"/>
          <w:lang w:val="fr-FR"/>
        </w:rPr>
        <w:t>’</w:t>
      </w:r>
      <w:r w:rsidR="00090707" w:rsidRPr="00E267AB">
        <w:rPr>
          <w:rFonts w:eastAsiaTheme="majorEastAsia"/>
          <w:lang w:val="fr-FR"/>
        </w:rPr>
        <w:t>époque des faits (</w:t>
      </w:r>
      <w:r w:rsidR="001840E2" w:rsidRPr="00E267AB">
        <w:rPr>
          <w:i/>
          <w:lang w:val="fr-FR"/>
        </w:rPr>
        <w:t>Oliari et autres c. Italie</w:t>
      </w:r>
      <w:r w:rsidR="001840E2" w:rsidRPr="00E267AB">
        <w:rPr>
          <w:lang w:val="fr-FR"/>
        </w:rPr>
        <w:t>, n</w:t>
      </w:r>
      <w:r w:rsidR="001840E2" w:rsidRPr="00E267AB">
        <w:rPr>
          <w:vertAlign w:val="superscript"/>
          <w:lang w:val="fr-FR"/>
        </w:rPr>
        <w:t>os</w:t>
      </w:r>
      <w:r w:rsidR="001840E2" w:rsidRPr="00E267AB">
        <w:rPr>
          <w:lang w:val="fr-FR"/>
        </w:rPr>
        <w:t xml:space="preserve"> 18766/11 et 36030/11</w:t>
      </w:r>
      <w:r w:rsidR="001840E2" w:rsidRPr="00E267AB">
        <w:rPr>
          <w:snapToGrid w:val="0"/>
          <w:lang w:val="fr-FR"/>
        </w:rPr>
        <w:t xml:space="preserve">, </w:t>
      </w:r>
      <w:r w:rsidR="00090707" w:rsidRPr="00E267AB">
        <w:rPr>
          <w:rFonts w:eastAsiaTheme="majorEastAsia"/>
          <w:lang w:val="fr-FR"/>
        </w:rPr>
        <w:t>§§ 67-68, 21 juillet 2015</w:t>
      </w:r>
      <w:r w:rsidR="008024AE" w:rsidRPr="00E267AB">
        <w:rPr>
          <w:rFonts w:ascii="Times New Roman" w:hAnsi="Times New Roman" w:cs="Times New Roman"/>
          <w:color w:val="000000"/>
          <w:lang w:val="fr-FR"/>
        </w:rPr>
        <w:t xml:space="preserve"> et </w:t>
      </w:r>
      <w:r w:rsidR="008024AE" w:rsidRPr="00E267AB">
        <w:rPr>
          <w:rFonts w:ascii="Times New Roman" w:hAnsi="Times New Roman" w:cs="Times New Roman"/>
          <w:i/>
          <w:iCs/>
          <w:color w:val="000000"/>
          <w:lang w:val="fr-FR"/>
        </w:rPr>
        <w:t xml:space="preserve">Bondavalli c. </w:t>
      </w:r>
      <w:r w:rsidR="00DA050E" w:rsidRPr="00E267AB">
        <w:rPr>
          <w:rFonts w:ascii="Times New Roman" w:hAnsi="Times New Roman" w:cs="Times New Roman"/>
          <w:i/>
          <w:iCs/>
          <w:color w:val="000000"/>
          <w:lang w:val="fr-FR"/>
        </w:rPr>
        <w:t>Italie</w:t>
      </w:r>
      <w:r w:rsidR="00DA050E" w:rsidRPr="00E267AB">
        <w:rPr>
          <w:rFonts w:ascii="Times New Roman" w:hAnsi="Times New Roman" w:cs="Times New Roman"/>
          <w:color w:val="000000"/>
          <w:lang w:val="fr-FR"/>
        </w:rPr>
        <w:t>,</w:t>
      </w:r>
      <w:r w:rsidR="008024AE" w:rsidRPr="00E267AB">
        <w:rPr>
          <w:rFonts w:ascii="Times New Roman" w:hAnsi="Times New Roman" w:cs="Times New Roman"/>
          <w:color w:val="000000"/>
          <w:lang w:val="fr-FR"/>
        </w:rPr>
        <w:t xml:space="preserve"> n</w:t>
      </w:r>
      <w:r w:rsidR="003C365E" w:rsidRPr="00E267AB">
        <w:rPr>
          <w:rFonts w:ascii="Times New Roman" w:hAnsi="Times New Roman" w:cs="Times New Roman"/>
          <w:color w:val="000000"/>
          <w:vertAlign w:val="superscript"/>
          <w:lang w:val="fr-FR"/>
        </w:rPr>
        <w:t>o</w:t>
      </w:r>
      <w:r w:rsidR="008024AE" w:rsidRPr="00E267AB">
        <w:rPr>
          <w:rFonts w:ascii="Times New Roman" w:hAnsi="Times New Roman" w:cs="Times New Roman"/>
          <w:color w:val="000000"/>
          <w:lang w:val="fr-FR"/>
        </w:rPr>
        <w:t xml:space="preserve"> 35532/12, § 52, 17 novembre 2015</w:t>
      </w:r>
      <w:r w:rsidR="00090707" w:rsidRPr="00E267AB">
        <w:rPr>
          <w:rFonts w:eastAsiaTheme="majorEastAsia"/>
          <w:lang w:val="fr-FR"/>
        </w:rPr>
        <w:t>).</w:t>
      </w:r>
    </w:p>
    <w:p w:rsidR="00090707" w:rsidRPr="00E267AB" w:rsidRDefault="006909C1" w:rsidP="00E267AB">
      <w:pPr>
        <w:pStyle w:val="ECHRPara"/>
        <w:rPr>
          <w:lang w:val="fr-FR"/>
        </w:rPr>
      </w:pPr>
      <w:r w:rsidRPr="00E267AB">
        <w:fldChar w:fldCharType="begin"/>
      </w:r>
      <w:r w:rsidRPr="00E267AB">
        <w:rPr>
          <w:lang w:val="fr-FR"/>
        </w:rPr>
        <w:instrText xml:space="preserve"> SEQ level0 \*arabic </w:instrText>
      </w:r>
      <w:r w:rsidRPr="00E267AB">
        <w:fldChar w:fldCharType="separate"/>
      </w:r>
      <w:r w:rsidR="00E267AB" w:rsidRPr="00E267AB">
        <w:rPr>
          <w:noProof/>
          <w:lang w:val="fr-FR"/>
        </w:rPr>
        <w:t>85</w:t>
      </w:r>
      <w:r w:rsidRPr="00E267AB">
        <w:fldChar w:fldCharType="end"/>
      </w:r>
      <w:r w:rsidRPr="00E267AB">
        <w:rPr>
          <w:lang w:val="fr-FR"/>
        </w:rPr>
        <w:t>.  </w:t>
      </w:r>
      <w:r w:rsidR="00090707" w:rsidRPr="00E267AB">
        <w:rPr>
          <w:lang w:val="fr-FR"/>
        </w:rPr>
        <w:t xml:space="preserve">Partant, </w:t>
      </w:r>
      <w:r w:rsidRPr="00E267AB">
        <w:rPr>
          <w:lang w:val="fr-FR"/>
        </w:rPr>
        <w:t>il convient donc de ne pas tenir compte des arguments du Gouvernement sur ce point.</w:t>
      </w:r>
    </w:p>
    <w:p w:rsidR="00E77CB3" w:rsidRPr="00E267AB" w:rsidRDefault="00090707" w:rsidP="00E267AB">
      <w:pPr>
        <w:pStyle w:val="ECHRHeading2"/>
        <w:outlineLvl w:val="0"/>
        <w:rPr>
          <w:lang w:val="fr-FR"/>
        </w:rPr>
      </w:pPr>
      <w:r w:rsidRPr="00E267AB">
        <w:rPr>
          <w:lang w:val="fr-FR"/>
        </w:rPr>
        <w:t>B</w:t>
      </w:r>
      <w:r w:rsidR="00E77CB3" w:rsidRPr="00E267AB">
        <w:rPr>
          <w:lang w:val="fr-FR"/>
        </w:rPr>
        <w:t>.  </w:t>
      </w:r>
      <w:r w:rsidR="00544DDD" w:rsidRPr="00E267AB">
        <w:rPr>
          <w:lang w:val="fr-FR"/>
        </w:rPr>
        <w:t xml:space="preserve">Sur </w:t>
      </w:r>
      <w:r w:rsidR="00484E05" w:rsidRPr="00E267AB">
        <w:rPr>
          <w:lang w:val="fr-FR"/>
        </w:rPr>
        <w:t>la recevabilité</w:t>
      </w:r>
    </w:p>
    <w:p w:rsidR="00484E05" w:rsidRPr="00E267AB" w:rsidRDefault="00484E05" w:rsidP="00E267AB">
      <w:pPr>
        <w:pStyle w:val="ECHRHeading3"/>
        <w:rPr>
          <w:lang w:val="fr-FR"/>
        </w:rPr>
      </w:pPr>
      <w:r w:rsidRPr="00E267AB">
        <w:rPr>
          <w:lang w:val="fr-FR"/>
        </w:rPr>
        <w:t>1</w:t>
      </w:r>
      <w:r w:rsidR="00660398" w:rsidRPr="00E267AB">
        <w:rPr>
          <w:lang w:val="fr-FR"/>
        </w:rPr>
        <w:t>.</w:t>
      </w:r>
      <w:r w:rsidR="00B21E1F" w:rsidRPr="00E267AB">
        <w:rPr>
          <w:lang w:val="fr-FR"/>
        </w:rPr>
        <w:t>  </w:t>
      </w:r>
      <w:r w:rsidRPr="00E267AB">
        <w:rPr>
          <w:lang w:val="fr-FR"/>
        </w:rPr>
        <w:t>Th</w:t>
      </w:r>
      <w:r w:rsidR="008D0450" w:rsidRPr="00E267AB">
        <w:rPr>
          <w:lang w:val="fr-FR"/>
        </w:rPr>
        <w:t>èses</w:t>
      </w:r>
      <w:r w:rsidRPr="00E267AB">
        <w:rPr>
          <w:lang w:val="fr-FR"/>
        </w:rPr>
        <w:t xml:space="preserve"> des parties</w:t>
      </w:r>
    </w:p>
    <w:p w:rsidR="00E03723" w:rsidRPr="00E267AB" w:rsidRDefault="000C724B"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86</w:t>
      </w:r>
      <w:r w:rsidRPr="00E267AB">
        <w:rPr>
          <w:lang w:val="fr-FR"/>
        </w:rPr>
        <w:fldChar w:fldCharType="end"/>
      </w:r>
      <w:r w:rsidR="009A3DB2" w:rsidRPr="00E267AB">
        <w:rPr>
          <w:lang w:val="fr-FR"/>
        </w:rPr>
        <w:t>.  </w:t>
      </w:r>
      <w:r w:rsidR="00C3598E" w:rsidRPr="00E267AB">
        <w:rPr>
          <w:lang w:val="fr-FR"/>
        </w:rPr>
        <w:t>L</w:t>
      </w:r>
      <w:r w:rsidRPr="00E267AB">
        <w:rPr>
          <w:lang w:val="fr-FR"/>
        </w:rPr>
        <w:t xml:space="preserve">e Gouvernement excipe </w:t>
      </w:r>
      <w:r w:rsidR="008D0450" w:rsidRPr="00E267AB">
        <w:rPr>
          <w:lang w:val="fr-FR"/>
        </w:rPr>
        <w:t>du</w:t>
      </w:r>
      <w:r w:rsidRPr="00E267AB">
        <w:rPr>
          <w:lang w:val="fr-FR"/>
        </w:rPr>
        <w:t xml:space="preserve"> non</w:t>
      </w:r>
      <w:r w:rsidR="0039251E" w:rsidRPr="00E267AB">
        <w:rPr>
          <w:lang w:val="fr-FR"/>
        </w:rPr>
        <w:t>-</w:t>
      </w:r>
      <w:r w:rsidRPr="00E267AB">
        <w:rPr>
          <w:lang w:val="fr-FR"/>
        </w:rPr>
        <w:t>épuisement des voies d</w:t>
      </w:r>
      <w:r w:rsidR="00E03723" w:rsidRPr="00E267AB">
        <w:rPr>
          <w:lang w:val="fr-FR"/>
        </w:rPr>
        <w:t>e recours internes</w:t>
      </w:r>
      <w:r w:rsidR="00CB2750" w:rsidRPr="00E267AB">
        <w:rPr>
          <w:lang w:val="fr-FR"/>
        </w:rPr>
        <w:t>. Il affirme à cet égard que</w:t>
      </w:r>
      <w:r w:rsidR="008D0450" w:rsidRPr="00E267AB">
        <w:rPr>
          <w:lang w:val="fr-FR"/>
        </w:rPr>
        <w:t xml:space="preserve">, </w:t>
      </w:r>
      <w:r w:rsidRPr="00E267AB">
        <w:rPr>
          <w:lang w:val="fr-FR"/>
        </w:rPr>
        <w:t>au moment de l</w:t>
      </w:r>
      <w:r w:rsidR="00E267AB" w:rsidRPr="00E267AB">
        <w:rPr>
          <w:lang w:val="fr-FR"/>
        </w:rPr>
        <w:t>’</w:t>
      </w:r>
      <w:r w:rsidRPr="00E267AB">
        <w:rPr>
          <w:lang w:val="fr-FR"/>
        </w:rPr>
        <w:t xml:space="preserve">introduction </w:t>
      </w:r>
      <w:r w:rsidR="00E03723" w:rsidRPr="00E267AB">
        <w:rPr>
          <w:lang w:val="fr-FR"/>
        </w:rPr>
        <w:t xml:space="preserve">de la requête, le </w:t>
      </w:r>
      <w:r w:rsidR="00752B00" w:rsidRPr="00E267AB">
        <w:rPr>
          <w:lang w:val="fr-FR"/>
        </w:rPr>
        <w:t>pourvoi</w:t>
      </w:r>
      <w:r w:rsidR="00E03723" w:rsidRPr="00E267AB">
        <w:rPr>
          <w:lang w:val="fr-FR"/>
        </w:rPr>
        <w:t xml:space="preserve"> en cassation contre l</w:t>
      </w:r>
      <w:r w:rsidR="00E267AB" w:rsidRPr="00E267AB">
        <w:rPr>
          <w:lang w:val="fr-FR"/>
        </w:rPr>
        <w:t>’</w:t>
      </w:r>
      <w:r w:rsidR="00E03723" w:rsidRPr="00E267AB">
        <w:rPr>
          <w:lang w:val="fr-FR"/>
        </w:rPr>
        <w:t>arrêt de la cour d</w:t>
      </w:r>
      <w:r w:rsidR="00E267AB" w:rsidRPr="00E267AB">
        <w:rPr>
          <w:lang w:val="fr-FR"/>
        </w:rPr>
        <w:t>’</w:t>
      </w:r>
      <w:r w:rsidR="00E03723" w:rsidRPr="00E267AB">
        <w:rPr>
          <w:lang w:val="fr-FR"/>
        </w:rPr>
        <w:t xml:space="preserve">appel </w:t>
      </w:r>
      <w:r w:rsidR="004412C1" w:rsidRPr="00E267AB">
        <w:rPr>
          <w:lang w:val="fr-FR"/>
        </w:rPr>
        <w:t xml:space="preserve">de Florence </w:t>
      </w:r>
      <w:r w:rsidR="00E03723" w:rsidRPr="00E267AB">
        <w:rPr>
          <w:lang w:val="fr-FR"/>
        </w:rPr>
        <w:t>du 12 novembre 2010 portant sur la garde de l</w:t>
      </w:r>
      <w:r w:rsidR="00E267AB" w:rsidRPr="00E267AB">
        <w:rPr>
          <w:lang w:val="fr-FR"/>
        </w:rPr>
        <w:t>’</w:t>
      </w:r>
      <w:r w:rsidR="00E03723" w:rsidRPr="00E267AB">
        <w:rPr>
          <w:lang w:val="fr-FR"/>
        </w:rPr>
        <w:t xml:space="preserve">enfant </w:t>
      </w:r>
      <w:r w:rsidRPr="00E267AB">
        <w:rPr>
          <w:lang w:val="fr-FR"/>
        </w:rPr>
        <w:t>était encore pendant</w:t>
      </w:r>
      <w:r w:rsidR="004412C1" w:rsidRPr="00E267AB">
        <w:rPr>
          <w:lang w:val="fr-FR"/>
        </w:rPr>
        <w:t xml:space="preserve"> et que </w:t>
      </w:r>
      <w:r w:rsidR="00E03723" w:rsidRPr="00E267AB">
        <w:rPr>
          <w:lang w:val="fr-FR"/>
        </w:rPr>
        <w:t xml:space="preserve">le recours </w:t>
      </w:r>
      <w:r w:rsidR="00E915E8" w:rsidRPr="00E267AB">
        <w:rPr>
          <w:lang w:val="fr-FR"/>
        </w:rPr>
        <w:t>qui aurait été introduit par le</w:t>
      </w:r>
      <w:r w:rsidR="00E03723" w:rsidRPr="00E267AB">
        <w:rPr>
          <w:lang w:val="fr-FR"/>
        </w:rPr>
        <w:t xml:space="preserve"> requérant devant le tribunal pour enfants de Florence était </w:t>
      </w:r>
      <w:r w:rsidR="004412C1" w:rsidRPr="00E267AB">
        <w:rPr>
          <w:lang w:val="fr-FR"/>
        </w:rPr>
        <w:t>également</w:t>
      </w:r>
      <w:r w:rsidR="00E03723" w:rsidRPr="00E267AB">
        <w:rPr>
          <w:lang w:val="fr-FR"/>
        </w:rPr>
        <w:t xml:space="preserve"> pendant.</w:t>
      </w:r>
    </w:p>
    <w:p w:rsidR="0076710F" w:rsidRPr="00E267AB" w:rsidRDefault="00CB2750" w:rsidP="00E267AB">
      <w:pPr>
        <w:pStyle w:val="ECHRPara"/>
        <w:rPr>
          <w:lang w:val="fr-FR"/>
        </w:rPr>
      </w:pPr>
      <w:r w:rsidRPr="00E267AB">
        <w:rPr>
          <w:lang w:val="fr-FR"/>
        </w:rPr>
        <w:t>L</w:t>
      </w:r>
      <w:r w:rsidR="00607521" w:rsidRPr="00E267AB">
        <w:rPr>
          <w:lang w:val="fr-FR"/>
        </w:rPr>
        <w:t xml:space="preserve">e </w:t>
      </w:r>
      <w:r w:rsidR="00E03723" w:rsidRPr="00E267AB">
        <w:rPr>
          <w:lang w:val="fr-FR"/>
        </w:rPr>
        <w:t xml:space="preserve">Gouvernement, </w:t>
      </w:r>
      <w:r w:rsidRPr="00E267AB">
        <w:rPr>
          <w:lang w:val="fr-FR"/>
        </w:rPr>
        <w:t>qui indique que</w:t>
      </w:r>
      <w:r w:rsidR="00607521" w:rsidRPr="00E267AB">
        <w:rPr>
          <w:lang w:val="fr-FR"/>
        </w:rPr>
        <w:t xml:space="preserve"> </w:t>
      </w:r>
      <w:r w:rsidR="00484E05" w:rsidRPr="00E267AB">
        <w:rPr>
          <w:lang w:val="fr-FR"/>
        </w:rPr>
        <w:t>les décisions</w:t>
      </w:r>
      <w:r w:rsidR="00E03723" w:rsidRPr="00E267AB">
        <w:rPr>
          <w:lang w:val="fr-FR"/>
        </w:rPr>
        <w:t xml:space="preserve"> du tribunal pour enfants </w:t>
      </w:r>
      <w:r w:rsidR="00BE2B85" w:rsidRPr="00E267AB">
        <w:rPr>
          <w:lang w:val="fr-FR"/>
        </w:rPr>
        <w:t>peuvent</w:t>
      </w:r>
      <w:r w:rsidR="00E03723" w:rsidRPr="00E267AB">
        <w:rPr>
          <w:lang w:val="fr-FR"/>
        </w:rPr>
        <w:t xml:space="preserve"> </w:t>
      </w:r>
      <w:r w:rsidRPr="00E267AB">
        <w:rPr>
          <w:lang w:val="fr-FR"/>
        </w:rPr>
        <w:t>toujours être modifiées</w:t>
      </w:r>
      <w:r w:rsidR="00E03723" w:rsidRPr="00E267AB">
        <w:rPr>
          <w:lang w:val="fr-FR"/>
        </w:rPr>
        <w:t xml:space="preserve">, </w:t>
      </w:r>
      <w:r w:rsidRPr="00E267AB">
        <w:rPr>
          <w:lang w:val="fr-FR"/>
        </w:rPr>
        <w:t>précise qu</w:t>
      </w:r>
      <w:r w:rsidR="00E267AB" w:rsidRPr="00E267AB">
        <w:rPr>
          <w:lang w:val="fr-FR"/>
        </w:rPr>
        <w:t>’</w:t>
      </w:r>
      <w:r w:rsidR="00E03723" w:rsidRPr="00E267AB">
        <w:rPr>
          <w:lang w:val="fr-FR"/>
        </w:rPr>
        <w:t xml:space="preserve">il faut </w:t>
      </w:r>
      <w:r w:rsidRPr="00E267AB">
        <w:rPr>
          <w:lang w:val="fr-FR"/>
        </w:rPr>
        <w:t xml:space="preserve">pour cela </w:t>
      </w:r>
      <w:r w:rsidR="00E03723" w:rsidRPr="00E267AB">
        <w:rPr>
          <w:lang w:val="fr-FR"/>
        </w:rPr>
        <w:t>des éléments nouveaux</w:t>
      </w:r>
      <w:r w:rsidR="00607521" w:rsidRPr="00E267AB">
        <w:rPr>
          <w:lang w:val="fr-FR"/>
        </w:rPr>
        <w:t>. Or</w:t>
      </w:r>
      <w:r w:rsidRPr="00E267AB">
        <w:rPr>
          <w:lang w:val="fr-FR"/>
        </w:rPr>
        <w:t xml:space="preserve">, selon lui, </w:t>
      </w:r>
      <w:r w:rsidR="004412C1" w:rsidRPr="00E267AB">
        <w:rPr>
          <w:lang w:val="fr-FR"/>
        </w:rPr>
        <w:t xml:space="preserve">pareils éléments </w:t>
      </w:r>
      <w:r w:rsidRPr="00E267AB">
        <w:rPr>
          <w:lang w:val="fr-FR"/>
        </w:rPr>
        <w:t>faisaient</w:t>
      </w:r>
      <w:r w:rsidR="00E03723" w:rsidRPr="00E267AB">
        <w:rPr>
          <w:lang w:val="fr-FR"/>
        </w:rPr>
        <w:t xml:space="preserve"> défaut </w:t>
      </w:r>
      <w:r w:rsidR="004412C1" w:rsidRPr="00E267AB">
        <w:rPr>
          <w:lang w:val="fr-FR"/>
        </w:rPr>
        <w:t>en l</w:t>
      </w:r>
      <w:r w:rsidR="00E267AB" w:rsidRPr="00E267AB">
        <w:rPr>
          <w:lang w:val="fr-FR"/>
        </w:rPr>
        <w:t>’</w:t>
      </w:r>
      <w:r w:rsidR="00E03723" w:rsidRPr="00E267AB">
        <w:rPr>
          <w:lang w:val="fr-FR"/>
        </w:rPr>
        <w:t>espèce.</w:t>
      </w:r>
    </w:p>
    <w:p w:rsidR="0076710F" w:rsidRPr="00E267AB" w:rsidRDefault="0076710F"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87</w:t>
      </w:r>
      <w:r w:rsidRPr="00E267AB">
        <w:rPr>
          <w:lang w:val="fr-FR"/>
        </w:rPr>
        <w:fldChar w:fldCharType="end"/>
      </w:r>
      <w:r w:rsidRPr="00E267AB">
        <w:rPr>
          <w:lang w:val="fr-FR"/>
        </w:rPr>
        <w:t xml:space="preserve">.  Se référant au principe de subsidiarité, le Gouvernement affirme que le requérant aurait dû épuiser toutes </w:t>
      </w:r>
      <w:r w:rsidR="004412C1" w:rsidRPr="00E267AB">
        <w:rPr>
          <w:lang w:val="fr-FR"/>
        </w:rPr>
        <w:t>l</w:t>
      </w:r>
      <w:r w:rsidRPr="00E267AB">
        <w:rPr>
          <w:lang w:val="fr-FR"/>
        </w:rPr>
        <w:t>es voies de recours internes avant de saisir la Cour.</w:t>
      </w:r>
    </w:p>
    <w:p w:rsidR="00544DDD" w:rsidRPr="00E267AB" w:rsidRDefault="009A3DB2" w:rsidP="00E267AB">
      <w:pPr>
        <w:pStyle w:val="ECHRPara"/>
        <w:rPr>
          <w:lang w:val="fr-FR"/>
        </w:rPr>
      </w:pPr>
      <w:r w:rsidRPr="00E267AB">
        <w:rPr>
          <w:lang w:val="fr-FR"/>
        </w:rPr>
        <w:lastRenderedPageBreak/>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88</w:t>
      </w:r>
      <w:r w:rsidRPr="00E267AB">
        <w:rPr>
          <w:lang w:val="fr-FR"/>
        </w:rPr>
        <w:fldChar w:fldCharType="end"/>
      </w:r>
      <w:r w:rsidRPr="00E267AB">
        <w:rPr>
          <w:lang w:val="fr-FR"/>
        </w:rPr>
        <w:t xml:space="preserve">.  Le requérant </w:t>
      </w:r>
      <w:r w:rsidR="008107C8" w:rsidRPr="00E267AB">
        <w:rPr>
          <w:lang w:val="fr-FR"/>
        </w:rPr>
        <w:t>conteste</w:t>
      </w:r>
      <w:r w:rsidRPr="00E267AB">
        <w:rPr>
          <w:lang w:val="fr-FR"/>
        </w:rPr>
        <w:t xml:space="preserve"> l</w:t>
      </w:r>
      <w:r w:rsidR="00E267AB" w:rsidRPr="00E267AB">
        <w:rPr>
          <w:lang w:val="fr-FR"/>
        </w:rPr>
        <w:t>’</w:t>
      </w:r>
      <w:r w:rsidR="00C3598E" w:rsidRPr="00E267AB">
        <w:rPr>
          <w:lang w:val="fr-FR"/>
        </w:rPr>
        <w:t>exception</w:t>
      </w:r>
      <w:r w:rsidR="00DF50E1" w:rsidRPr="00E267AB">
        <w:rPr>
          <w:lang w:val="fr-FR"/>
        </w:rPr>
        <w:t xml:space="preserve"> d</w:t>
      </w:r>
      <w:r w:rsidR="00C3598E" w:rsidRPr="00E267AB">
        <w:rPr>
          <w:lang w:val="fr-FR"/>
        </w:rPr>
        <w:t>u Gouvernement</w:t>
      </w:r>
      <w:r w:rsidR="00EE2815" w:rsidRPr="00E267AB">
        <w:rPr>
          <w:lang w:val="fr-FR"/>
        </w:rPr>
        <w:t xml:space="preserve">. Il </w:t>
      </w:r>
      <w:r w:rsidR="008D36CA" w:rsidRPr="00E267AB">
        <w:rPr>
          <w:lang w:val="fr-FR"/>
        </w:rPr>
        <w:t>fait observer</w:t>
      </w:r>
      <w:r w:rsidR="00C3598E" w:rsidRPr="00E267AB">
        <w:rPr>
          <w:lang w:val="fr-FR"/>
        </w:rPr>
        <w:t xml:space="preserve"> qu</w:t>
      </w:r>
      <w:r w:rsidR="00E267AB" w:rsidRPr="00E267AB">
        <w:rPr>
          <w:lang w:val="fr-FR"/>
        </w:rPr>
        <w:t>’</w:t>
      </w:r>
      <w:r w:rsidR="00C3598E" w:rsidRPr="00E267AB">
        <w:rPr>
          <w:lang w:val="fr-FR"/>
        </w:rPr>
        <w:t>il se plaint d</w:t>
      </w:r>
      <w:r w:rsidR="00E267AB" w:rsidRPr="00E267AB">
        <w:rPr>
          <w:lang w:val="fr-FR"/>
        </w:rPr>
        <w:t>’</w:t>
      </w:r>
      <w:r w:rsidR="00C3598E" w:rsidRPr="00E267AB">
        <w:rPr>
          <w:lang w:val="fr-FR"/>
        </w:rPr>
        <w:t>un défaut de protection de l</w:t>
      </w:r>
      <w:r w:rsidR="00E267AB" w:rsidRPr="00E267AB">
        <w:rPr>
          <w:lang w:val="fr-FR"/>
        </w:rPr>
        <w:t>’</w:t>
      </w:r>
      <w:r w:rsidR="008A3043" w:rsidRPr="00E267AB">
        <w:rPr>
          <w:lang w:val="fr-FR"/>
        </w:rPr>
        <w:t>État</w:t>
      </w:r>
      <w:r w:rsidR="00C3598E" w:rsidRPr="00E267AB">
        <w:rPr>
          <w:lang w:val="fr-FR"/>
        </w:rPr>
        <w:t xml:space="preserve"> concernant sa fille. </w:t>
      </w:r>
      <w:r w:rsidR="001D6D8C" w:rsidRPr="00E267AB">
        <w:rPr>
          <w:lang w:val="fr-FR"/>
        </w:rPr>
        <w:t>I</w:t>
      </w:r>
      <w:r w:rsidR="00C3598E" w:rsidRPr="00E267AB">
        <w:rPr>
          <w:lang w:val="fr-FR"/>
        </w:rPr>
        <w:t xml:space="preserve">l </w:t>
      </w:r>
      <w:r w:rsidR="008D36CA" w:rsidRPr="00E267AB">
        <w:rPr>
          <w:lang w:val="fr-FR"/>
        </w:rPr>
        <w:t>indique</w:t>
      </w:r>
      <w:r w:rsidR="002E460F" w:rsidRPr="00E267AB">
        <w:rPr>
          <w:lang w:val="fr-FR"/>
        </w:rPr>
        <w:t xml:space="preserve"> également</w:t>
      </w:r>
      <w:r w:rsidR="001D6D8C" w:rsidRPr="00E267AB">
        <w:rPr>
          <w:lang w:val="fr-FR"/>
        </w:rPr>
        <w:t xml:space="preserve"> </w:t>
      </w:r>
      <w:r w:rsidR="00C3598E" w:rsidRPr="00E267AB">
        <w:rPr>
          <w:lang w:val="fr-FR"/>
        </w:rPr>
        <w:t xml:space="preserve">que </w:t>
      </w:r>
      <w:r w:rsidR="002E460F" w:rsidRPr="00E267AB">
        <w:rPr>
          <w:lang w:val="fr-FR"/>
        </w:rPr>
        <w:t>le</w:t>
      </w:r>
      <w:r w:rsidRPr="00E267AB">
        <w:rPr>
          <w:lang w:val="fr-FR"/>
        </w:rPr>
        <w:t xml:space="preserve"> pourvoi en cassation contre l</w:t>
      </w:r>
      <w:r w:rsidR="00E267AB" w:rsidRPr="00E267AB">
        <w:rPr>
          <w:lang w:val="fr-FR"/>
        </w:rPr>
        <w:t>’</w:t>
      </w:r>
      <w:r w:rsidRPr="00E267AB">
        <w:rPr>
          <w:lang w:val="fr-FR"/>
        </w:rPr>
        <w:t>arrêt de la cour d</w:t>
      </w:r>
      <w:r w:rsidR="00E267AB" w:rsidRPr="00E267AB">
        <w:rPr>
          <w:lang w:val="fr-FR"/>
        </w:rPr>
        <w:t>’</w:t>
      </w:r>
      <w:r w:rsidRPr="00E267AB">
        <w:rPr>
          <w:lang w:val="fr-FR"/>
        </w:rPr>
        <w:t>appel</w:t>
      </w:r>
      <w:r w:rsidR="00544DDD" w:rsidRPr="00E267AB">
        <w:rPr>
          <w:lang w:val="fr-FR"/>
        </w:rPr>
        <w:t xml:space="preserve"> </w:t>
      </w:r>
      <w:r w:rsidR="002E460F" w:rsidRPr="00E267AB">
        <w:rPr>
          <w:lang w:val="fr-FR"/>
        </w:rPr>
        <w:t xml:space="preserve">a été introduit par N.R. </w:t>
      </w:r>
      <w:r w:rsidR="00544DDD" w:rsidRPr="00E267AB">
        <w:rPr>
          <w:lang w:val="fr-FR"/>
        </w:rPr>
        <w:t>et que l</w:t>
      </w:r>
      <w:r w:rsidR="00E267AB" w:rsidRPr="00E267AB">
        <w:rPr>
          <w:lang w:val="fr-FR"/>
        </w:rPr>
        <w:t>’</w:t>
      </w:r>
      <w:r w:rsidR="00544DDD" w:rsidRPr="00E267AB">
        <w:rPr>
          <w:lang w:val="fr-FR"/>
        </w:rPr>
        <w:t xml:space="preserve">audience </w:t>
      </w:r>
      <w:r w:rsidR="002E460F" w:rsidRPr="00E267AB">
        <w:rPr>
          <w:lang w:val="fr-FR"/>
        </w:rPr>
        <w:t xml:space="preserve">y afférente </w:t>
      </w:r>
      <w:r w:rsidR="00544DDD" w:rsidRPr="00E267AB">
        <w:rPr>
          <w:lang w:val="fr-FR"/>
        </w:rPr>
        <w:t xml:space="preserve">a été fixée quatre ans après. </w:t>
      </w:r>
      <w:r w:rsidRPr="00E267AB">
        <w:rPr>
          <w:lang w:val="fr-FR"/>
        </w:rPr>
        <w:t xml:space="preserve">Il </w:t>
      </w:r>
      <w:r w:rsidR="008D36CA" w:rsidRPr="00E267AB">
        <w:rPr>
          <w:lang w:val="fr-FR"/>
        </w:rPr>
        <w:t>ajoute que</w:t>
      </w:r>
      <w:r w:rsidRPr="00E267AB">
        <w:rPr>
          <w:lang w:val="fr-FR"/>
        </w:rPr>
        <w:t xml:space="preserve"> </w:t>
      </w:r>
      <w:r w:rsidR="00544DDD" w:rsidRPr="00E267AB">
        <w:rPr>
          <w:lang w:val="fr-FR"/>
        </w:rPr>
        <w:t xml:space="preserve">la procédure de séparation est </w:t>
      </w:r>
      <w:r w:rsidR="008D36CA" w:rsidRPr="00E267AB">
        <w:rPr>
          <w:lang w:val="fr-FR"/>
        </w:rPr>
        <w:t xml:space="preserve">toujours </w:t>
      </w:r>
      <w:r w:rsidRPr="00E267AB">
        <w:rPr>
          <w:lang w:val="fr-FR"/>
        </w:rPr>
        <w:t>pendante</w:t>
      </w:r>
      <w:r w:rsidR="008D36CA" w:rsidRPr="00E267AB">
        <w:rPr>
          <w:lang w:val="fr-FR"/>
        </w:rPr>
        <w:t xml:space="preserve"> huit ans après son introduction</w:t>
      </w:r>
      <w:r w:rsidR="00E03723" w:rsidRPr="00E267AB">
        <w:rPr>
          <w:lang w:val="fr-FR"/>
        </w:rPr>
        <w:t xml:space="preserve">. </w:t>
      </w:r>
      <w:r w:rsidR="002E460F" w:rsidRPr="00E267AB">
        <w:rPr>
          <w:lang w:val="fr-FR"/>
        </w:rPr>
        <w:t xml:space="preserve">De plus, il affirme que </w:t>
      </w:r>
      <w:r w:rsidR="00544DDD" w:rsidRPr="00E267AB">
        <w:rPr>
          <w:lang w:val="fr-FR"/>
        </w:rPr>
        <w:t xml:space="preserve">la procédure devant le tribunal </w:t>
      </w:r>
      <w:r w:rsidR="008D36CA" w:rsidRPr="00E267AB">
        <w:rPr>
          <w:lang w:val="fr-FR"/>
        </w:rPr>
        <w:t xml:space="preserve">pour enfants </w:t>
      </w:r>
      <w:r w:rsidR="00544DDD" w:rsidRPr="00E267AB">
        <w:rPr>
          <w:lang w:val="fr-FR"/>
        </w:rPr>
        <w:t>de Flor</w:t>
      </w:r>
      <w:r w:rsidRPr="00E267AB">
        <w:rPr>
          <w:lang w:val="fr-FR"/>
        </w:rPr>
        <w:t xml:space="preserve">ence </w:t>
      </w:r>
      <w:r w:rsidR="002E460F" w:rsidRPr="00E267AB">
        <w:rPr>
          <w:lang w:val="fr-FR"/>
        </w:rPr>
        <w:t>relative à</w:t>
      </w:r>
      <w:r w:rsidRPr="00E267AB">
        <w:rPr>
          <w:lang w:val="fr-FR"/>
        </w:rPr>
        <w:t xml:space="preserve"> </w:t>
      </w:r>
      <w:r w:rsidR="002E460F" w:rsidRPr="00E267AB">
        <w:rPr>
          <w:lang w:val="fr-FR"/>
        </w:rPr>
        <w:t>une</w:t>
      </w:r>
      <w:r w:rsidRPr="00E267AB">
        <w:rPr>
          <w:lang w:val="fr-FR"/>
        </w:rPr>
        <w:t xml:space="preserve"> suspension d</w:t>
      </w:r>
      <w:r w:rsidR="00544DDD" w:rsidRPr="00E267AB">
        <w:rPr>
          <w:lang w:val="fr-FR"/>
        </w:rPr>
        <w:t>e</w:t>
      </w:r>
      <w:r w:rsidRPr="00E267AB">
        <w:rPr>
          <w:lang w:val="fr-FR"/>
        </w:rPr>
        <w:t xml:space="preserve"> </w:t>
      </w:r>
      <w:r w:rsidR="00544DDD" w:rsidRPr="00E267AB">
        <w:rPr>
          <w:lang w:val="fr-FR"/>
        </w:rPr>
        <w:t>l</w:t>
      </w:r>
      <w:r w:rsidR="00E267AB" w:rsidRPr="00E267AB">
        <w:rPr>
          <w:lang w:val="fr-FR"/>
        </w:rPr>
        <w:t>’</w:t>
      </w:r>
      <w:r w:rsidR="00544DDD" w:rsidRPr="00E267AB">
        <w:rPr>
          <w:lang w:val="fr-FR"/>
        </w:rPr>
        <w:t>autorité parentale</w:t>
      </w:r>
      <w:r w:rsidR="002E460F" w:rsidRPr="00E267AB">
        <w:rPr>
          <w:lang w:val="fr-FR"/>
        </w:rPr>
        <w:t xml:space="preserve"> est </w:t>
      </w:r>
      <w:r w:rsidR="00544DDD" w:rsidRPr="00E267AB">
        <w:rPr>
          <w:lang w:val="fr-FR"/>
        </w:rPr>
        <w:t xml:space="preserve">une procédure </w:t>
      </w:r>
      <w:r w:rsidRPr="00E267AB">
        <w:rPr>
          <w:lang w:val="fr-FR"/>
        </w:rPr>
        <w:t xml:space="preserve">de juridiction gracieuse (« </w:t>
      </w:r>
      <w:r w:rsidRPr="00E267AB">
        <w:rPr>
          <w:i/>
          <w:lang w:val="fr-FR"/>
        </w:rPr>
        <w:t xml:space="preserve">volontaria giurisdizione </w:t>
      </w:r>
      <w:r w:rsidRPr="00E267AB">
        <w:rPr>
          <w:lang w:val="fr-FR"/>
        </w:rPr>
        <w:t>»)</w:t>
      </w:r>
      <w:r w:rsidR="001D6D8C" w:rsidRPr="00E267AB">
        <w:rPr>
          <w:lang w:val="fr-FR"/>
        </w:rPr>
        <w:t xml:space="preserve">. </w:t>
      </w:r>
      <w:r w:rsidR="00971C47" w:rsidRPr="00E267AB">
        <w:rPr>
          <w:lang w:val="fr-FR"/>
        </w:rPr>
        <w:t xml:space="preserve">Il indique </w:t>
      </w:r>
      <w:r w:rsidR="002E460F" w:rsidRPr="00E267AB">
        <w:rPr>
          <w:lang w:val="fr-FR"/>
        </w:rPr>
        <w:t xml:space="preserve">aussi </w:t>
      </w:r>
      <w:r w:rsidR="00E03723" w:rsidRPr="00E267AB">
        <w:rPr>
          <w:lang w:val="fr-FR"/>
        </w:rPr>
        <w:t>qu</w:t>
      </w:r>
      <w:r w:rsidRPr="00E267AB">
        <w:rPr>
          <w:lang w:val="fr-FR"/>
        </w:rPr>
        <w:t xml:space="preserve">e </w:t>
      </w:r>
      <w:r w:rsidR="00544DDD" w:rsidRPr="00E267AB">
        <w:rPr>
          <w:lang w:val="fr-FR"/>
        </w:rPr>
        <w:t xml:space="preserve">toutes </w:t>
      </w:r>
      <w:r w:rsidR="008C295F" w:rsidRPr="00E267AB">
        <w:rPr>
          <w:lang w:val="fr-FR"/>
        </w:rPr>
        <w:t>les décisions</w:t>
      </w:r>
      <w:r w:rsidR="00544DDD" w:rsidRPr="00E267AB">
        <w:rPr>
          <w:lang w:val="fr-FR"/>
        </w:rPr>
        <w:t xml:space="preserve"> lui on</w:t>
      </w:r>
      <w:r w:rsidR="00DF50E1" w:rsidRPr="00E267AB">
        <w:rPr>
          <w:lang w:val="fr-FR"/>
        </w:rPr>
        <w:t>t</w:t>
      </w:r>
      <w:r w:rsidR="00544DDD" w:rsidRPr="00E267AB">
        <w:rPr>
          <w:lang w:val="fr-FR"/>
        </w:rPr>
        <w:t xml:space="preserve"> été favorables et qu</w:t>
      </w:r>
      <w:r w:rsidR="00E267AB" w:rsidRPr="00E267AB">
        <w:rPr>
          <w:lang w:val="fr-FR"/>
        </w:rPr>
        <w:t>’</w:t>
      </w:r>
      <w:r w:rsidR="00544DDD" w:rsidRPr="00E267AB">
        <w:rPr>
          <w:lang w:val="fr-FR"/>
        </w:rPr>
        <w:t>il n</w:t>
      </w:r>
      <w:r w:rsidR="00E267AB" w:rsidRPr="00E267AB">
        <w:rPr>
          <w:lang w:val="fr-FR"/>
        </w:rPr>
        <w:t>’</w:t>
      </w:r>
      <w:r w:rsidR="00544DDD" w:rsidRPr="00E267AB">
        <w:rPr>
          <w:lang w:val="fr-FR"/>
        </w:rPr>
        <w:t xml:space="preserve">avait </w:t>
      </w:r>
      <w:r w:rsidRPr="00E267AB">
        <w:rPr>
          <w:lang w:val="fr-FR"/>
        </w:rPr>
        <w:t>aucun</w:t>
      </w:r>
      <w:r w:rsidR="00544DDD" w:rsidRPr="00E267AB">
        <w:rPr>
          <w:lang w:val="fr-FR"/>
        </w:rPr>
        <w:t xml:space="preserve"> intérêt </w:t>
      </w:r>
      <w:r w:rsidR="00E03723" w:rsidRPr="00E267AB">
        <w:rPr>
          <w:lang w:val="fr-FR"/>
        </w:rPr>
        <w:t>à</w:t>
      </w:r>
      <w:r w:rsidR="00544DDD" w:rsidRPr="00E267AB">
        <w:rPr>
          <w:lang w:val="fr-FR"/>
        </w:rPr>
        <w:t xml:space="preserve"> les attaquer. </w:t>
      </w:r>
      <w:r w:rsidR="00971C47" w:rsidRPr="00E267AB">
        <w:rPr>
          <w:lang w:val="fr-FR"/>
        </w:rPr>
        <w:t>Il précise en outre</w:t>
      </w:r>
      <w:r w:rsidR="002E460F" w:rsidRPr="00E267AB">
        <w:rPr>
          <w:lang w:val="fr-FR"/>
        </w:rPr>
        <w:t>, d</w:t>
      </w:r>
      <w:r w:rsidR="00E267AB" w:rsidRPr="00E267AB">
        <w:rPr>
          <w:lang w:val="fr-FR"/>
        </w:rPr>
        <w:t>’</w:t>
      </w:r>
      <w:r w:rsidR="002E460F" w:rsidRPr="00E267AB">
        <w:rPr>
          <w:lang w:val="fr-FR"/>
        </w:rPr>
        <w:t>une part,</w:t>
      </w:r>
      <w:r w:rsidR="00544DDD" w:rsidRPr="00E267AB">
        <w:rPr>
          <w:lang w:val="fr-FR"/>
        </w:rPr>
        <w:t xml:space="preserve"> </w:t>
      </w:r>
      <w:r w:rsidR="002E460F" w:rsidRPr="00E267AB">
        <w:rPr>
          <w:lang w:val="fr-FR"/>
        </w:rPr>
        <w:t xml:space="preserve">que </w:t>
      </w:r>
      <w:r w:rsidR="00544DDD" w:rsidRPr="00E267AB">
        <w:rPr>
          <w:lang w:val="fr-FR"/>
        </w:rPr>
        <w:t xml:space="preserve">ces </w:t>
      </w:r>
      <w:r w:rsidR="00DF50E1" w:rsidRPr="00E267AB">
        <w:rPr>
          <w:lang w:val="fr-FR"/>
        </w:rPr>
        <w:t>décisions</w:t>
      </w:r>
      <w:r w:rsidRPr="00E267AB">
        <w:rPr>
          <w:lang w:val="fr-FR"/>
        </w:rPr>
        <w:t xml:space="preserve"> </w:t>
      </w:r>
      <w:r w:rsidR="00971C47" w:rsidRPr="00E267AB">
        <w:rPr>
          <w:lang w:val="fr-FR"/>
        </w:rPr>
        <w:t xml:space="preserve">concernaient des situations relatives à </w:t>
      </w:r>
      <w:r w:rsidRPr="00E267AB">
        <w:rPr>
          <w:lang w:val="fr-FR"/>
        </w:rPr>
        <w:t>de</w:t>
      </w:r>
      <w:r w:rsidR="00971C47" w:rsidRPr="00E267AB">
        <w:rPr>
          <w:lang w:val="fr-FR"/>
        </w:rPr>
        <w:t>s</w:t>
      </w:r>
      <w:r w:rsidRPr="00E267AB">
        <w:rPr>
          <w:lang w:val="fr-FR"/>
        </w:rPr>
        <w:t xml:space="preserve"> droits subjectifs</w:t>
      </w:r>
      <w:r w:rsidR="00971C47" w:rsidRPr="00E267AB">
        <w:rPr>
          <w:lang w:val="fr-FR"/>
        </w:rPr>
        <w:t xml:space="preserve"> et</w:t>
      </w:r>
      <w:r w:rsidR="002E460F" w:rsidRPr="00E267AB">
        <w:rPr>
          <w:lang w:val="fr-FR"/>
        </w:rPr>
        <w:t>, d</w:t>
      </w:r>
      <w:r w:rsidR="00E267AB" w:rsidRPr="00E267AB">
        <w:rPr>
          <w:lang w:val="fr-FR"/>
        </w:rPr>
        <w:t>’</w:t>
      </w:r>
      <w:r w:rsidR="002E460F" w:rsidRPr="00E267AB">
        <w:rPr>
          <w:lang w:val="fr-FR"/>
        </w:rPr>
        <w:t>autre part,</w:t>
      </w:r>
      <w:r w:rsidR="00971C47" w:rsidRPr="00E267AB">
        <w:rPr>
          <w:lang w:val="fr-FR"/>
        </w:rPr>
        <w:t xml:space="preserve"> qu</w:t>
      </w:r>
      <w:r w:rsidR="00E267AB" w:rsidRPr="00E267AB">
        <w:rPr>
          <w:lang w:val="fr-FR"/>
        </w:rPr>
        <w:t>’</w:t>
      </w:r>
      <w:r w:rsidR="00971C47" w:rsidRPr="00E267AB">
        <w:rPr>
          <w:lang w:val="fr-FR"/>
        </w:rPr>
        <w:t>elles n</w:t>
      </w:r>
      <w:r w:rsidR="00E267AB" w:rsidRPr="00E267AB">
        <w:rPr>
          <w:lang w:val="fr-FR"/>
        </w:rPr>
        <w:t>’</w:t>
      </w:r>
      <w:r w:rsidR="00971C47" w:rsidRPr="00E267AB">
        <w:rPr>
          <w:lang w:val="fr-FR"/>
        </w:rPr>
        <w:t>avaient</w:t>
      </w:r>
      <w:r w:rsidRPr="00E267AB">
        <w:rPr>
          <w:lang w:val="fr-FR"/>
        </w:rPr>
        <w:t xml:space="preserve"> aucun caractère décisoire et </w:t>
      </w:r>
      <w:r w:rsidR="00241235" w:rsidRPr="00E267AB">
        <w:rPr>
          <w:lang w:val="fr-FR"/>
        </w:rPr>
        <w:t>qu</w:t>
      </w:r>
      <w:r w:rsidR="00E267AB" w:rsidRPr="00E267AB">
        <w:rPr>
          <w:lang w:val="fr-FR"/>
        </w:rPr>
        <w:t>’</w:t>
      </w:r>
      <w:r w:rsidR="00241235" w:rsidRPr="00E267AB">
        <w:rPr>
          <w:lang w:val="fr-FR"/>
        </w:rPr>
        <w:t xml:space="preserve">elles </w:t>
      </w:r>
      <w:r w:rsidR="00971C47" w:rsidRPr="00E267AB">
        <w:rPr>
          <w:lang w:val="fr-FR"/>
        </w:rPr>
        <w:t>n</w:t>
      </w:r>
      <w:r w:rsidR="00E267AB" w:rsidRPr="00E267AB">
        <w:rPr>
          <w:lang w:val="fr-FR"/>
        </w:rPr>
        <w:t>’</w:t>
      </w:r>
      <w:r w:rsidR="00971C47" w:rsidRPr="00E267AB">
        <w:rPr>
          <w:lang w:val="fr-FR"/>
        </w:rPr>
        <w:t xml:space="preserve">avaient pas acquis </w:t>
      </w:r>
      <w:r w:rsidR="00D71776" w:rsidRPr="00E267AB">
        <w:rPr>
          <w:lang w:val="fr-FR"/>
        </w:rPr>
        <w:t>l</w:t>
      </w:r>
      <w:r w:rsidR="00E267AB" w:rsidRPr="00E267AB">
        <w:rPr>
          <w:lang w:val="fr-FR"/>
        </w:rPr>
        <w:t>’</w:t>
      </w:r>
      <w:r w:rsidR="00D71776" w:rsidRPr="00E267AB">
        <w:rPr>
          <w:lang w:val="fr-FR"/>
        </w:rPr>
        <w:t>autorité de la</w:t>
      </w:r>
      <w:r w:rsidRPr="00E267AB">
        <w:rPr>
          <w:lang w:val="fr-FR"/>
        </w:rPr>
        <w:t xml:space="preserve"> chose jugée</w:t>
      </w:r>
      <w:r w:rsidR="002E460F" w:rsidRPr="00E267AB">
        <w:rPr>
          <w:lang w:val="fr-FR"/>
        </w:rPr>
        <w:t xml:space="preserve"> au motif qu</w:t>
      </w:r>
      <w:r w:rsidR="00E267AB" w:rsidRPr="00E267AB">
        <w:rPr>
          <w:lang w:val="fr-FR"/>
        </w:rPr>
        <w:t>’</w:t>
      </w:r>
      <w:r w:rsidRPr="00E267AB">
        <w:rPr>
          <w:lang w:val="fr-FR"/>
        </w:rPr>
        <w:t xml:space="preserve">elles </w:t>
      </w:r>
      <w:r w:rsidR="002E460F" w:rsidRPr="00E267AB">
        <w:rPr>
          <w:lang w:val="fr-FR"/>
        </w:rPr>
        <w:t>étaient</w:t>
      </w:r>
      <w:r w:rsidRPr="00E267AB">
        <w:rPr>
          <w:lang w:val="fr-FR"/>
        </w:rPr>
        <w:t xml:space="preserve"> toujours </w:t>
      </w:r>
      <w:r w:rsidR="002E460F" w:rsidRPr="00E267AB">
        <w:rPr>
          <w:lang w:val="fr-FR"/>
        </w:rPr>
        <w:t>susceptibles d</w:t>
      </w:r>
      <w:r w:rsidR="00E267AB" w:rsidRPr="00E267AB">
        <w:rPr>
          <w:lang w:val="fr-FR"/>
        </w:rPr>
        <w:t>’</w:t>
      </w:r>
      <w:r w:rsidR="002E460F" w:rsidRPr="00E267AB">
        <w:rPr>
          <w:lang w:val="fr-FR"/>
        </w:rPr>
        <w:t>être modifiées</w:t>
      </w:r>
      <w:r w:rsidR="00544DDD" w:rsidRPr="00E267AB">
        <w:rPr>
          <w:lang w:val="fr-FR"/>
        </w:rPr>
        <w:t>.</w:t>
      </w:r>
    </w:p>
    <w:p w:rsidR="00484E05" w:rsidRPr="00E267AB" w:rsidRDefault="00484E05" w:rsidP="00E267AB">
      <w:pPr>
        <w:pStyle w:val="ECHRHeading3"/>
        <w:rPr>
          <w:lang w:val="fr-FR"/>
        </w:rPr>
      </w:pPr>
      <w:r w:rsidRPr="00E267AB">
        <w:rPr>
          <w:lang w:val="fr-FR"/>
        </w:rPr>
        <w:t>2</w:t>
      </w:r>
      <w:r w:rsidR="00660398" w:rsidRPr="00E267AB">
        <w:rPr>
          <w:lang w:val="fr-FR"/>
        </w:rPr>
        <w:t>.</w:t>
      </w:r>
      <w:r w:rsidRPr="00E267AB">
        <w:rPr>
          <w:lang w:val="fr-FR"/>
        </w:rPr>
        <w:t>  Appréciation de la Cour</w:t>
      </w:r>
    </w:p>
    <w:p w:rsidR="00544DDD" w:rsidRPr="00E267AB" w:rsidRDefault="006909C1" w:rsidP="00E267AB">
      <w:pPr>
        <w:pStyle w:val="ECHRPara"/>
        <w:rPr>
          <w:i/>
          <w:szCs w:val="24"/>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89</w:t>
      </w:r>
      <w:r w:rsidRPr="00E267AB">
        <w:rPr>
          <w:lang w:val="fr-FR"/>
        </w:rPr>
        <w:fldChar w:fldCharType="end"/>
      </w:r>
      <w:r w:rsidRPr="00E267AB">
        <w:rPr>
          <w:lang w:val="fr-FR"/>
        </w:rPr>
        <w:t>.  </w:t>
      </w:r>
      <w:r w:rsidR="009A3DB2" w:rsidRPr="00E267AB">
        <w:rPr>
          <w:lang w:val="fr-FR"/>
        </w:rPr>
        <w:t>La Cour note tout d</w:t>
      </w:r>
      <w:r w:rsidR="00E267AB" w:rsidRPr="00E267AB">
        <w:rPr>
          <w:lang w:val="fr-FR"/>
        </w:rPr>
        <w:t>’</w:t>
      </w:r>
      <w:r w:rsidR="009A3DB2" w:rsidRPr="00E267AB">
        <w:rPr>
          <w:lang w:val="fr-FR"/>
        </w:rPr>
        <w:t xml:space="preserve">abord </w:t>
      </w:r>
      <w:r w:rsidR="00DF50E1" w:rsidRPr="00E267AB">
        <w:rPr>
          <w:lang w:val="fr-FR"/>
        </w:rPr>
        <w:t>que les griefs du requérant portent sur</w:t>
      </w:r>
      <w:r w:rsidR="009A3DB2" w:rsidRPr="00E267AB">
        <w:rPr>
          <w:lang w:val="fr-FR"/>
        </w:rPr>
        <w:t xml:space="preserve"> la </w:t>
      </w:r>
      <w:r w:rsidR="004A5665" w:rsidRPr="00E267AB">
        <w:rPr>
          <w:lang w:val="fr-FR"/>
        </w:rPr>
        <w:t xml:space="preserve">question de la mise en œuvre </w:t>
      </w:r>
      <w:r w:rsidR="00D01BCC" w:rsidRPr="00E267AB">
        <w:rPr>
          <w:lang w:val="fr-FR"/>
        </w:rPr>
        <w:t xml:space="preserve">du droit de </w:t>
      </w:r>
      <w:r w:rsidR="009A3DB2" w:rsidRPr="00E267AB">
        <w:rPr>
          <w:lang w:val="fr-FR"/>
        </w:rPr>
        <w:t>visite</w:t>
      </w:r>
      <w:r w:rsidR="00D01BCC" w:rsidRPr="00E267AB">
        <w:rPr>
          <w:lang w:val="fr-FR"/>
        </w:rPr>
        <w:t xml:space="preserve"> </w:t>
      </w:r>
      <w:r w:rsidR="004A5665" w:rsidRPr="00E267AB">
        <w:rPr>
          <w:lang w:val="fr-FR"/>
        </w:rPr>
        <w:t>selon les modalités fixées</w:t>
      </w:r>
      <w:r w:rsidR="00D01BCC" w:rsidRPr="00E267AB">
        <w:rPr>
          <w:lang w:val="fr-FR"/>
        </w:rPr>
        <w:t xml:space="preserve"> par </w:t>
      </w:r>
      <w:r w:rsidR="009A3DB2" w:rsidRPr="00E267AB">
        <w:rPr>
          <w:lang w:val="fr-FR"/>
        </w:rPr>
        <w:t>plusieurs</w:t>
      </w:r>
      <w:r w:rsidR="00D01BCC" w:rsidRPr="00E267AB">
        <w:rPr>
          <w:lang w:val="fr-FR"/>
        </w:rPr>
        <w:t xml:space="preserve"> décision</w:t>
      </w:r>
      <w:r w:rsidR="00DA79D8" w:rsidRPr="00E267AB">
        <w:rPr>
          <w:lang w:val="fr-FR"/>
        </w:rPr>
        <w:t>s</w:t>
      </w:r>
      <w:r w:rsidR="00D01BCC" w:rsidRPr="00E267AB">
        <w:rPr>
          <w:lang w:val="fr-FR"/>
        </w:rPr>
        <w:t xml:space="preserve"> et l</w:t>
      </w:r>
      <w:r w:rsidR="00E267AB" w:rsidRPr="00E267AB">
        <w:rPr>
          <w:lang w:val="fr-FR"/>
        </w:rPr>
        <w:t>’</w:t>
      </w:r>
      <w:r w:rsidR="00D01BCC" w:rsidRPr="00E267AB">
        <w:rPr>
          <w:lang w:val="fr-FR"/>
        </w:rPr>
        <w:t xml:space="preserve">inertie </w:t>
      </w:r>
      <w:r w:rsidR="00DA79D8" w:rsidRPr="00E267AB">
        <w:rPr>
          <w:lang w:val="fr-FR"/>
        </w:rPr>
        <w:t xml:space="preserve">alléguée </w:t>
      </w:r>
      <w:r w:rsidR="00D01BCC" w:rsidRPr="00E267AB">
        <w:rPr>
          <w:lang w:val="fr-FR"/>
        </w:rPr>
        <w:t>des autorités face au comportement de N.R</w:t>
      </w:r>
      <w:r w:rsidR="001A7318" w:rsidRPr="00E267AB">
        <w:rPr>
          <w:lang w:val="fr-FR"/>
        </w:rPr>
        <w:t>.</w:t>
      </w:r>
      <w:r w:rsidR="00D01BCC" w:rsidRPr="00E267AB">
        <w:rPr>
          <w:lang w:val="fr-FR"/>
        </w:rPr>
        <w:t xml:space="preserve">, et non </w:t>
      </w:r>
      <w:r w:rsidR="00E03723" w:rsidRPr="00E267AB">
        <w:rPr>
          <w:lang w:val="fr-FR"/>
        </w:rPr>
        <w:t>sur le jugement</w:t>
      </w:r>
      <w:r w:rsidR="009A3DB2" w:rsidRPr="00E267AB">
        <w:rPr>
          <w:lang w:val="fr-FR"/>
        </w:rPr>
        <w:t xml:space="preserve"> de séparation de corps. </w:t>
      </w:r>
      <w:r w:rsidR="001C4D7A" w:rsidRPr="00E267AB">
        <w:rPr>
          <w:lang w:val="fr-FR"/>
        </w:rPr>
        <w:t>Elle</w:t>
      </w:r>
      <w:r w:rsidR="009A3DB2" w:rsidRPr="00E267AB">
        <w:rPr>
          <w:lang w:val="fr-FR"/>
        </w:rPr>
        <w:t xml:space="preserve"> remarque</w:t>
      </w:r>
      <w:r w:rsidR="00E03723" w:rsidRPr="00E267AB">
        <w:rPr>
          <w:lang w:val="fr-FR"/>
        </w:rPr>
        <w:t xml:space="preserve"> en outre</w:t>
      </w:r>
      <w:r w:rsidR="009A3DB2" w:rsidRPr="00E267AB">
        <w:rPr>
          <w:lang w:val="fr-FR"/>
        </w:rPr>
        <w:t xml:space="preserve"> que le pourvoi en cassation est pendant depuis quatre ans.</w:t>
      </w:r>
      <w:r w:rsidR="00D01BCC" w:rsidRPr="00E267AB">
        <w:rPr>
          <w:lang w:val="fr-FR"/>
        </w:rPr>
        <w:t xml:space="preserve"> </w:t>
      </w:r>
      <w:r w:rsidR="009A3DB2" w:rsidRPr="00E267AB">
        <w:rPr>
          <w:lang w:val="fr-FR"/>
        </w:rPr>
        <w:t>Par</w:t>
      </w:r>
      <w:r w:rsidR="00D01BCC" w:rsidRPr="00E267AB">
        <w:rPr>
          <w:lang w:val="fr-FR"/>
        </w:rPr>
        <w:t xml:space="preserve"> conséquent</w:t>
      </w:r>
      <w:r w:rsidR="0076710F" w:rsidRPr="00E267AB">
        <w:rPr>
          <w:lang w:val="fr-FR"/>
        </w:rPr>
        <w:t>,</w:t>
      </w:r>
      <w:r w:rsidR="00D01BCC" w:rsidRPr="00E267AB">
        <w:rPr>
          <w:lang w:val="fr-FR"/>
        </w:rPr>
        <w:t xml:space="preserve"> </w:t>
      </w:r>
      <w:r w:rsidR="00A2078C" w:rsidRPr="00E267AB">
        <w:rPr>
          <w:lang w:val="fr-FR"/>
        </w:rPr>
        <w:t xml:space="preserve">eu égard </w:t>
      </w:r>
      <w:r w:rsidR="00FF7F38" w:rsidRPr="00E267AB">
        <w:rPr>
          <w:lang w:val="fr-FR"/>
        </w:rPr>
        <w:t xml:space="preserve">également </w:t>
      </w:r>
      <w:r w:rsidR="00A2078C" w:rsidRPr="00E267AB">
        <w:rPr>
          <w:lang w:val="fr-FR"/>
        </w:rPr>
        <w:t>à l</w:t>
      </w:r>
      <w:r w:rsidR="00E267AB" w:rsidRPr="00E267AB">
        <w:rPr>
          <w:lang w:val="fr-FR"/>
        </w:rPr>
        <w:t>’</w:t>
      </w:r>
      <w:r w:rsidR="00A2078C" w:rsidRPr="00E267AB">
        <w:rPr>
          <w:lang w:val="fr-FR"/>
        </w:rPr>
        <w:t xml:space="preserve">incidence </w:t>
      </w:r>
      <w:r w:rsidR="00FF7F38" w:rsidRPr="00E267AB">
        <w:rPr>
          <w:lang w:val="fr-FR"/>
        </w:rPr>
        <w:t>dans ce genre d</w:t>
      </w:r>
      <w:r w:rsidR="00E267AB" w:rsidRPr="00E267AB">
        <w:rPr>
          <w:lang w:val="fr-FR"/>
        </w:rPr>
        <w:t>’</w:t>
      </w:r>
      <w:r w:rsidR="00FF7F38" w:rsidRPr="00E267AB">
        <w:rPr>
          <w:lang w:val="fr-FR"/>
        </w:rPr>
        <w:t>affaire</w:t>
      </w:r>
      <w:r w:rsidR="00A2078C" w:rsidRPr="00E267AB">
        <w:rPr>
          <w:lang w:val="fr-FR"/>
        </w:rPr>
        <w:t>s de</w:t>
      </w:r>
      <w:r w:rsidR="00FF7F38" w:rsidRPr="00E267AB">
        <w:rPr>
          <w:lang w:val="fr-FR"/>
        </w:rPr>
        <w:t xml:space="preserve"> l</w:t>
      </w:r>
      <w:r w:rsidR="00E267AB" w:rsidRPr="00E267AB">
        <w:rPr>
          <w:lang w:val="fr-FR"/>
        </w:rPr>
        <w:t>’</w:t>
      </w:r>
      <w:r w:rsidR="00FF7F38" w:rsidRPr="00E267AB">
        <w:rPr>
          <w:lang w:val="fr-FR"/>
        </w:rPr>
        <w:t>écoulement du temps</w:t>
      </w:r>
      <w:r w:rsidR="00A2078C" w:rsidRPr="00E267AB">
        <w:rPr>
          <w:lang w:val="fr-FR"/>
        </w:rPr>
        <w:t xml:space="preserve"> – celui</w:t>
      </w:r>
      <w:r w:rsidR="00A2078C" w:rsidRPr="00E267AB">
        <w:rPr>
          <w:lang w:val="fr-FR"/>
        </w:rPr>
        <w:noBreakHyphen/>
        <w:t>ci</w:t>
      </w:r>
      <w:r w:rsidR="00FF7F38" w:rsidRPr="00E267AB">
        <w:rPr>
          <w:lang w:val="fr-FR"/>
        </w:rPr>
        <w:t xml:space="preserve"> </w:t>
      </w:r>
      <w:r w:rsidR="00A2078C" w:rsidRPr="00E267AB">
        <w:rPr>
          <w:lang w:val="fr-FR"/>
        </w:rPr>
        <w:t>pouvant</w:t>
      </w:r>
      <w:r w:rsidR="00FF7F38" w:rsidRPr="00E267AB">
        <w:rPr>
          <w:lang w:val="fr-FR"/>
        </w:rPr>
        <w:t xml:space="preserve"> avoir des conséquences irrémédiables pour les relations entre l</w:t>
      </w:r>
      <w:r w:rsidR="00E267AB" w:rsidRPr="00E267AB">
        <w:rPr>
          <w:lang w:val="fr-FR"/>
        </w:rPr>
        <w:t>’</w:t>
      </w:r>
      <w:r w:rsidR="00FF7F38" w:rsidRPr="00E267AB">
        <w:rPr>
          <w:lang w:val="fr-FR"/>
        </w:rPr>
        <w:t xml:space="preserve">enfant et celui des parents qui ne vit pas avec lui </w:t>
      </w:r>
      <w:r w:rsidR="0076710F" w:rsidRPr="00E267AB">
        <w:rPr>
          <w:lang w:val="fr-FR"/>
        </w:rPr>
        <w:t>(</w:t>
      </w:r>
      <w:r w:rsidR="001840E2" w:rsidRPr="00E267AB">
        <w:rPr>
          <w:i/>
          <w:lang w:val="fr-FR"/>
        </w:rPr>
        <w:t>Lombardo c. Italie</w:t>
      </w:r>
      <w:r w:rsidR="001840E2" w:rsidRPr="00E267AB">
        <w:rPr>
          <w:lang w:val="fr-FR"/>
        </w:rPr>
        <w:t>, n</w:t>
      </w:r>
      <w:r w:rsidR="001840E2" w:rsidRPr="00E267AB">
        <w:rPr>
          <w:vertAlign w:val="superscript"/>
          <w:lang w:val="fr-FR"/>
        </w:rPr>
        <w:t>o</w:t>
      </w:r>
      <w:r w:rsidR="001840E2" w:rsidRPr="00E267AB">
        <w:rPr>
          <w:lang w:val="fr-FR"/>
        </w:rPr>
        <w:t xml:space="preserve"> 25704/11, 29 janvier 2013</w:t>
      </w:r>
      <w:r w:rsidR="00FF7F38" w:rsidRPr="00E267AB">
        <w:rPr>
          <w:lang w:val="fr-FR"/>
        </w:rPr>
        <w:t xml:space="preserve">, et </w:t>
      </w:r>
      <w:r w:rsidR="00FF7F38" w:rsidRPr="00E267AB">
        <w:rPr>
          <w:i/>
          <w:lang w:val="fr-FR"/>
        </w:rPr>
        <w:t xml:space="preserve">Nicolò Santilli </w:t>
      </w:r>
      <w:r w:rsidR="00FF7F38" w:rsidRPr="00E267AB">
        <w:rPr>
          <w:lang w:val="fr-FR"/>
        </w:rPr>
        <w:t xml:space="preserve">c. Italie, </w:t>
      </w:r>
      <w:r w:rsidR="0076710F" w:rsidRPr="00E267AB">
        <w:rPr>
          <w:lang w:val="fr-FR"/>
        </w:rPr>
        <w:t>n</w:t>
      </w:r>
      <w:r w:rsidR="0076710F" w:rsidRPr="00E267AB">
        <w:rPr>
          <w:vertAlign w:val="superscript"/>
          <w:lang w:val="fr-FR"/>
        </w:rPr>
        <w:t>o</w:t>
      </w:r>
      <w:r w:rsidR="003D4934" w:rsidRPr="00E267AB">
        <w:rPr>
          <w:vertAlign w:val="superscript"/>
          <w:lang w:val="fr-FR"/>
        </w:rPr>
        <w:t xml:space="preserve"> </w:t>
      </w:r>
      <w:r w:rsidR="001840E2" w:rsidRPr="00E267AB">
        <w:rPr>
          <w:lang w:val="fr-FR"/>
        </w:rPr>
        <w:t>51930/10</w:t>
      </w:r>
      <w:r w:rsidR="00FF7F38" w:rsidRPr="00E267AB">
        <w:rPr>
          <w:lang w:val="fr-FR"/>
        </w:rPr>
        <w:t>, 17</w:t>
      </w:r>
      <w:r w:rsidR="00A2078C" w:rsidRPr="00E267AB">
        <w:rPr>
          <w:lang w:val="fr-FR"/>
        </w:rPr>
        <w:t> </w:t>
      </w:r>
      <w:r w:rsidR="00FF7F38" w:rsidRPr="00E267AB">
        <w:rPr>
          <w:lang w:val="fr-FR"/>
        </w:rPr>
        <w:t>décembre 2013)</w:t>
      </w:r>
      <w:r w:rsidR="004A5665" w:rsidRPr="00E267AB">
        <w:rPr>
          <w:lang w:val="fr-FR"/>
        </w:rPr>
        <w:t xml:space="preserve"> –</w:t>
      </w:r>
      <w:r w:rsidR="00FF7F38" w:rsidRPr="00E267AB">
        <w:rPr>
          <w:lang w:val="fr-FR"/>
        </w:rPr>
        <w:t xml:space="preserve">, </w:t>
      </w:r>
      <w:r w:rsidR="00A2078C" w:rsidRPr="00E267AB">
        <w:rPr>
          <w:lang w:val="fr-FR"/>
        </w:rPr>
        <w:t xml:space="preserve">elle estime que </w:t>
      </w:r>
      <w:r w:rsidR="00D01BCC" w:rsidRPr="00E267AB">
        <w:rPr>
          <w:lang w:val="fr-FR"/>
        </w:rPr>
        <w:t>le volet de l</w:t>
      </w:r>
      <w:r w:rsidR="00E267AB" w:rsidRPr="00E267AB">
        <w:rPr>
          <w:lang w:val="fr-FR"/>
        </w:rPr>
        <w:t>’</w:t>
      </w:r>
      <w:r w:rsidR="00D01BCC" w:rsidRPr="00E267AB">
        <w:rPr>
          <w:lang w:val="fr-FR"/>
        </w:rPr>
        <w:t xml:space="preserve">exception </w:t>
      </w:r>
      <w:r w:rsidR="00A2078C" w:rsidRPr="00E267AB">
        <w:rPr>
          <w:lang w:val="fr-FR"/>
        </w:rPr>
        <w:t>de</w:t>
      </w:r>
      <w:r w:rsidR="00D01BCC" w:rsidRPr="00E267AB">
        <w:rPr>
          <w:lang w:val="fr-FR"/>
        </w:rPr>
        <w:t xml:space="preserve"> non</w:t>
      </w:r>
      <w:r w:rsidR="00A2078C" w:rsidRPr="00E267AB">
        <w:rPr>
          <w:lang w:val="fr-FR"/>
        </w:rPr>
        <w:noBreakHyphen/>
      </w:r>
      <w:r w:rsidR="009A3DB2" w:rsidRPr="00E267AB">
        <w:rPr>
          <w:lang w:val="fr-FR"/>
        </w:rPr>
        <w:t>épuisement</w:t>
      </w:r>
      <w:r w:rsidR="00D01BCC" w:rsidRPr="00E267AB">
        <w:rPr>
          <w:lang w:val="fr-FR"/>
        </w:rPr>
        <w:t xml:space="preserve"> </w:t>
      </w:r>
      <w:r w:rsidR="00A2078C" w:rsidRPr="00E267AB">
        <w:rPr>
          <w:lang w:val="fr-FR"/>
        </w:rPr>
        <w:t>des voies de recours portant sur le</w:t>
      </w:r>
      <w:r w:rsidR="00D01BCC" w:rsidRPr="00E267AB">
        <w:rPr>
          <w:lang w:val="fr-FR"/>
        </w:rPr>
        <w:t xml:space="preserve"> recours en cassation n</w:t>
      </w:r>
      <w:r w:rsidR="00E267AB" w:rsidRPr="00E267AB">
        <w:rPr>
          <w:lang w:val="fr-FR"/>
        </w:rPr>
        <w:t>’</w:t>
      </w:r>
      <w:r w:rsidR="00D01BCC" w:rsidRPr="00E267AB">
        <w:rPr>
          <w:lang w:val="fr-FR"/>
        </w:rPr>
        <w:t>est pas pertinent.</w:t>
      </w:r>
    </w:p>
    <w:p w:rsidR="00FF7F38" w:rsidRPr="00E267AB" w:rsidRDefault="009A3DB2"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90</w:t>
      </w:r>
      <w:r w:rsidRPr="00E267AB">
        <w:rPr>
          <w:lang w:val="fr-FR"/>
        </w:rPr>
        <w:fldChar w:fldCharType="end"/>
      </w:r>
      <w:r w:rsidRPr="00E267AB">
        <w:rPr>
          <w:lang w:val="fr-FR"/>
        </w:rPr>
        <w:t>.  Ensuite, la C</w:t>
      </w:r>
      <w:r w:rsidR="00D01BCC" w:rsidRPr="00E267AB">
        <w:rPr>
          <w:lang w:val="fr-FR"/>
        </w:rPr>
        <w:t>our rappelle que</w:t>
      </w:r>
      <w:r w:rsidR="00D01BCC" w:rsidRPr="00E267AB">
        <w:rPr>
          <w:rFonts w:ascii="Times New Roman" w:eastAsia="Times New Roman" w:hAnsi="Times New Roman" w:cs="Times New Roman"/>
          <w:szCs w:val="24"/>
          <w:lang w:val="fr-FR"/>
        </w:rPr>
        <w:t xml:space="preserve"> </w:t>
      </w:r>
      <w:r w:rsidR="00D01BCC" w:rsidRPr="00E267AB">
        <w:rPr>
          <w:lang w:val="fr-FR"/>
        </w:rPr>
        <w:t>les décisions du tribunal pour enfants portant notamment sur le droit de visite ne revêtent pas un caractère définitif et qu</w:t>
      </w:r>
      <w:r w:rsidR="00E267AB" w:rsidRPr="00E267AB">
        <w:rPr>
          <w:lang w:val="fr-FR"/>
        </w:rPr>
        <w:t>’</w:t>
      </w:r>
      <w:r w:rsidR="00D01BCC" w:rsidRPr="00E267AB">
        <w:rPr>
          <w:lang w:val="fr-FR"/>
        </w:rPr>
        <w:t xml:space="preserve">elles peuvent, dès lors, être modifiées à tout moment en fonction des événements liés à la situation </w:t>
      </w:r>
      <w:r w:rsidR="00820204" w:rsidRPr="00E267AB">
        <w:rPr>
          <w:lang w:val="fr-FR"/>
        </w:rPr>
        <w:t>en cause</w:t>
      </w:r>
      <w:r w:rsidR="00D01BCC" w:rsidRPr="00E267AB">
        <w:rPr>
          <w:lang w:val="fr-FR"/>
        </w:rPr>
        <w:t xml:space="preserve">. </w:t>
      </w:r>
      <w:r w:rsidR="00A2078C" w:rsidRPr="00E267AB">
        <w:rPr>
          <w:lang w:val="fr-FR"/>
        </w:rPr>
        <w:t>Ainsi, l</w:t>
      </w:r>
      <w:r w:rsidR="00E267AB" w:rsidRPr="00E267AB">
        <w:rPr>
          <w:lang w:val="fr-FR"/>
        </w:rPr>
        <w:t>’</w:t>
      </w:r>
      <w:r w:rsidR="00D01BCC" w:rsidRPr="00E267AB">
        <w:rPr>
          <w:lang w:val="fr-FR"/>
        </w:rPr>
        <w:t>évolution de la procédure interne est la conséquence du caractère non</w:t>
      </w:r>
      <w:r w:rsidR="00820204" w:rsidRPr="00E267AB">
        <w:rPr>
          <w:lang w:val="fr-FR"/>
        </w:rPr>
        <w:t xml:space="preserve"> </w:t>
      </w:r>
      <w:r w:rsidR="00D01BCC" w:rsidRPr="00E267AB">
        <w:rPr>
          <w:lang w:val="fr-FR"/>
        </w:rPr>
        <w:t>définitif des décisions du tribunal pour enfants portant sur le droit de visite. Par ailleurs, la Cour note</w:t>
      </w:r>
      <w:r w:rsidR="00820204" w:rsidRPr="00E267AB">
        <w:rPr>
          <w:lang w:val="fr-FR"/>
        </w:rPr>
        <w:t xml:space="preserve"> en l</w:t>
      </w:r>
      <w:r w:rsidR="00E267AB" w:rsidRPr="00E267AB">
        <w:rPr>
          <w:lang w:val="fr-FR"/>
        </w:rPr>
        <w:t>’</w:t>
      </w:r>
      <w:r w:rsidR="00820204" w:rsidRPr="00E267AB">
        <w:rPr>
          <w:lang w:val="fr-FR"/>
        </w:rPr>
        <w:t>espèce</w:t>
      </w:r>
      <w:r w:rsidR="00D01BCC" w:rsidRPr="00E267AB">
        <w:rPr>
          <w:lang w:val="fr-FR"/>
        </w:rPr>
        <w:t xml:space="preserve"> que le requérant</w:t>
      </w:r>
      <w:r w:rsidR="00043923" w:rsidRPr="00E267AB">
        <w:rPr>
          <w:lang w:val="fr-FR"/>
        </w:rPr>
        <w:t xml:space="preserve"> allègue qu</w:t>
      </w:r>
      <w:r w:rsidR="00E267AB" w:rsidRPr="00E267AB">
        <w:rPr>
          <w:lang w:val="fr-FR"/>
        </w:rPr>
        <w:t>’</w:t>
      </w:r>
      <w:r w:rsidR="00043923" w:rsidRPr="00E267AB">
        <w:rPr>
          <w:lang w:val="fr-FR"/>
        </w:rPr>
        <w:t>il n</w:t>
      </w:r>
      <w:r w:rsidR="00E267AB" w:rsidRPr="00E267AB">
        <w:rPr>
          <w:lang w:val="fr-FR"/>
        </w:rPr>
        <w:t>’</w:t>
      </w:r>
      <w:r w:rsidR="00043923" w:rsidRPr="00E267AB">
        <w:rPr>
          <w:lang w:val="fr-FR"/>
        </w:rPr>
        <w:t>a pas</w:t>
      </w:r>
      <w:r w:rsidR="00D01BCC" w:rsidRPr="00E267AB">
        <w:rPr>
          <w:lang w:val="fr-FR"/>
        </w:rPr>
        <w:t xml:space="preserve"> </w:t>
      </w:r>
      <w:r w:rsidR="00A2078C" w:rsidRPr="00E267AB">
        <w:rPr>
          <w:lang w:val="fr-FR"/>
        </w:rPr>
        <w:t>été en mesure d</w:t>
      </w:r>
      <w:r w:rsidR="00E267AB" w:rsidRPr="00E267AB">
        <w:rPr>
          <w:lang w:val="fr-FR"/>
        </w:rPr>
        <w:t>’</w:t>
      </w:r>
      <w:r w:rsidR="00D01BCC" w:rsidRPr="00E267AB">
        <w:rPr>
          <w:lang w:val="fr-FR"/>
        </w:rPr>
        <w:t xml:space="preserve">exercer </w:t>
      </w:r>
      <w:r w:rsidR="00AA68FE" w:rsidRPr="00E267AB">
        <w:rPr>
          <w:lang w:val="fr-FR"/>
        </w:rPr>
        <w:t xml:space="preserve">pleinement </w:t>
      </w:r>
      <w:r w:rsidR="00D01BCC" w:rsidRPr="00E267AB">
        <w:rPr>
          <w:lang w:val="fr-FR"/>
        </w:rPr>
        <w:t xml:space="preserve">son droit de visite depuis </w:t>
      </w:r>
      <w:r w:rsidR="00FF7F38" w:rsidRPr="00E267AB">
        <w:rPr>
          <w:lang w:val="fr-FR"/>
        </w:rPr>
        <w:t>2007</w:t>
      </w:r>
      <w:r w:rsidR="00D01BCC" w:rsidRPr="00E267AB">
        <w:rPr>
          <w:lang w:val="fr-FR"/>
        </w:rPr>
        <w:t xml:space="preserve"> et qu</w:t>
      </w:r>
      <w:r w:rsidR="00E267AB" w:rsidRPr="00E267AB">
        <w:rPr>
          <w:lang w:val="fr-FR"/>
        </w:rPr>
        <w:t>’</w:t>
      </w:r>
      <w:r w:rsidR="00D01BCC" w:rsidRPr="00E267AB">
        <w:rPr>
          <w:lang w:val="fr-FR"/>
        </w:rPr>
        <w:t xml:space="preserve">il </w:t>
      </w:r>
      <w:r w:rsidR="00820204" w:rsidRPr="00E267AB">
        <w:rPr>
          <w:lang w:val="fr-FR"/>
        </w:rPr>
        <w:t>a introduit sa requête devant elle</w:t>
      </w:r>
      <w:r w:rsidR="00D01BCC" w:rsidRPr="00E267AB">
        <w:rPr>
          <w:lang w:val="fr-FR"/>
        </w:rPr>
        <w:t xml:space="preserve"> le </w:t>
      </w:r>
      <w:r w:rsidR="00AA68FE" w:rsidRPr="00E267AB">
        <w:rPr>
          <w:lang w:val="fr-FR"/>
        </w:rPr>
        <w:t>2</w:t>
      </w:r>
      <w:r w:rsidR="00820204" w:rsidRPr="00E267AB">
        <w:rPr>
          <w:lang w:val="fr-FR"/>
        </w:rPr>
        <w:t> </w:t>
      </w:r>
      <w:r w:rsidR="00AA68FE" w:rsidRPr="00E267AB">
        <w:rPr>
          <w:lang w:val="fr-FR"/>
        </w:rPr>
        <w:t>août 2013</w:t>
      </w:r>
      <w:r w:rsidR="00D01BCC" w:rsidRPr="00E267AB">
        <w:rPr>
          <w:lang w:val="fr-FR"/>
        </w:rPr>
        <w:t xml:space="preserve"> après avoir saisi à plusieurs reprises le tribunal pour enfants qui s</w:t>
      </w:r>
      <w:r w:rsidR="00E267AB" w:rsidRPr="00E267AB">
        <w:rPr>
          <w:lang w:val="fr-FR"/>
        </w:rPr>
        <w:t>’</w:t>
      </w:r>
      <w:r w:rsidR="00A2078C" w:rsidRPr="00E267AB">
        <w:rPr>
          <w:lang w:val="fr-FR"/>
        </w:rPr>
        <w:t>était</w:t>
      </w:r>
      <w:r w:rsidR="00D01BCC" w:rsidRPr="00E267AB">
        <w:rPr>
          <w:lang w:val="fr-FR"/>
        </w:rPr>
        <w:t xml:space="preserve"> pro</w:t>
      </w:r>
      <w:r w:rsidR="00FF7F38" w:rsidRPr="00E267AB">
        <w:rPr>
          <w:lang w:val="fr-FR"/>
        </w:rPr>
        <w:t xml:space="preserve">noncé sur </w:t>
      </w:r>
      <w:r w:rsidR="00A2078C" w:rsidRPr="00E267AB">
        <w:rPr>
          <w:lang w:val="fr-FR"/>
        </w:rPr>
        <w:t>son</w:t>
      </w:r>
      <w:r w:rsidR="00FF7F38" w:rsidRPr="00E267AB">
        <w:rPr>
          <w:lang w:val="fr-FR"/>
        </w:rPr>
        <w:t xml:space="preserve"> droit</w:t>
      </w:r>
      <w:r w:rsidR="00A2078C" w:rsidRPr="00E267AB">
        <w:rPr>
          <w:lang w:val="fr-FR"/>
        </w:rPr>
        <w:t>. E</w:t>
      </w:r>
      <w:r w:rsidR="00D01BCC" w:rsidRPr="00E267AB">
        <w:rPr>
          <w:lang w:val="fr-FR"/>
        </w:rPr>
        <w:t xml:space="preserve">lle observe que le requérant avait à sa disposition cette voie de recours </w:t>
      </w:r>
      <w:r w:rsidR="00820204" w:rsidRPr="00E267AB">
        <w:rPr>
          <w:lang w:val="fr-FR"/>
        </w:rPr>
        <w:t xml:space="preserve">interne </w:t>
      </w:r>
      <w:r w:rsidR="00D01BCC" w:rsidRPr="00E267AB">
        <w:rPr>
          <w:lang w:val="fr-FR"/>
        </w:rPr>
        <w:t>pour se plaindre de l</w:t>
      </w:r>
      <w:r w:rsidR="00E267AB" w:rsidRPr="00E267AB">
        <w:rPr>
          <w:lang w:val="fr-FR"/>
        </w:rPr>
        <w:t>’</w:t>
      </w:r>
      <w:r w:rsidR="00D01BCC" w:rsidRPr="00E267AB">
        <w:rPr>
          <w:lang w:val="fr-FR"/>
        </w:rPr>
        <w:t>interruption des contacts avec sa fille (</w:t>
      </w:r>
      <w:r w:rsidR="00FF7F38" w:rsidRPr="00E267AB">
        <w:rPr>
          <w:i/>
          <w:lang w:val="fr-FR"/>
        </w:rPr>
        <w:t>Lombardo</w:t>
      </w:r>
      <w:r w:rsidR="00FF7F38" w:rsidRPr="00E267AB">
        <w:rPr>
          <w:lang w:val="fr-FR"/>
        </w:rPr>
        <w:t xml:space="preserve">, </w:t>
      </w:r>
      <w:r w:rsidR="00A2078C" w:rsidRPr="00E267AB">
        <w:rPr>
          <w:lang w:val="fr-FR"/>
        </w:rPr>
        <w:t xml:space="preserve">précité, </w:t>
      </w:r>
      <w:r w:rsidR="0076710F" w:rsidRPr="00E267AB">
        <w:rPr>
          <w:lang w:val="fr-FR"/>
        </w:rPr>
        <w:t>§ 63</w:t>
      </w:r>
      <w:r w:rsidR="00FF7F38" w:rsidRPr="00E267AB">
        <w:rPr>
          <w:lang w:val="fr-FR"/>
        </w:rPr>
        <w:t xml:space="preserve">, et </w:t>
      </w:r>
      <w:r w:rsidR="0076710F" w:rsidRPr="00E267AB">
        <w:rPr>
          <w:i/>
          <w:iCs/>
          <w:lang w:val="fr-FR"/>
        </w:rPr>
        <w:t>Nicolò Santilli</w:t>
      </w:r>
      <w:r w:rsidR="00820204" w:rsidRPr="00E267AB">
        <w:rPr>
          <w:lang w:val="fr-FR"/>
        </w:rPr>
        <w:t>, précité,</w:t>
      </w:r>
      <w:r w:rsidR="00820204" w:rsidRPr="00E267AB">
        <w:rPr>
          <w:i/>
          <w:lang w:val="fr-FR"/>
        </w:rPr>
        <w:t xml:space="preserve"> </w:t>
      </w:r>
      <w:r w:rsidR="0076710F" w:rsidRPr="00E267AB">
        <w:rPr>
          <w:lang w:val="fr-FR"/>
        </w:rPr>
        <w:t>§ 46</w:t>
      </w:r>
      <w:r w:rsidR="00D01BCC" w:rsidRPr="00E267AB">
        <w:rPr>
          <w:lang w:val="fr-FR"/>
        </w:rPr>
        <w:t>)</w:t>
      </w:r>
      <w:r w:rsidR="00A2078C" w:rsidRPr="00E267AB">
        <w:rPr>
          <w:lang w:val="fr-FR"/>
        </w:rPr>
        <w:t>.</w:t>
      </w:r>
    </w:p>
    <w:p w:rsidR="00D01BCC" w:rsidRPr="00E267AB" w:rsidRDefault="00FF7F38"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91</w:t>
      </w:r>
      <w:r w:rsidRPr="00E267AB">
        <w:rPr>
          <w:lang w:val="fr-FR"/>
        </w:rPr>
        <w:fldChar w:fldCharType="end"/>
      </w:r>
      <w:r w:rsidRPr="00E267AB">
        <w:rPr>
          <w:lang w:val="fr-FR"/>
        </w:rPr>
        <w:t>.  </w:t>
      </w:r>
      <w:r w:rsidR="00D01BCC" w:rsidRPr="00E267AB">
        <w:rPr>
          <w:lang w:val="fr-FR"/>
        </w:rPr>
        <w:t>Compte tenu de ces éléments, la Cour estime que le requérant a épuisé les voies de recours disponibles et qu</w:t>
      </w:r>
      <w:r w:rsidR="00E267AB" w:rsidRPr="00E267AB">
        <w:rPr>
          <w:lang w:val="fr-FR"/>
        </w:rPr>
        <w:t>’</w:t>
      </w:r>
      <w:r w:rsidR="00D01BCC" w:rsidRPr="00E267AB">
        <w:rPr>
          <w:lang w:val="fr-FR"/>
        </w:rPr>
        <w:t>il y a lieu de rejeter l</w:t>
      </w:r>
      <w:r w:rsidR="00E267AB" w:rsidRPr="00E267AB">
        <w:rPr>
          <w:lang w:val="fr-FR"/>
        </w:rPr>
        <w:t>’</w:t>
      </w:r>
      <w:r w:rsidR="00D01BCC" w:rsidRPr="00E267AB">
        <w:rPr>
          <w:lang w:val="fr-FR"/>
        </w:rPr>
        <w:t>exception soulevée par le Gouvernement.</w:t>
      </w:r>
    </w:p>
    <w:p w:rsidR="00E77CB3" w:rsidRPr="00E267AB" w:rsidRDefault="00F77BDB" w:rsidP="00E267AB">
      <w:pPr>
        <w:pStyle w:val="ECHRPara"/>
        <w:rPr>
          <w:lang w:val="fr-FR"/>
        </w:rPr>
      </w:pPr>
      <w:r w:rsidRPr="00E267AB">
        <w:rPr>
          <w:lang w:val="fr-FR"/>
        </w:rPr>
        <w:lastRenderedPageBreak/>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92</w:t>
      </w:r>
      <w:r w:rsidRPr="00E267AB">
        <w:rPr>
          <w:lang w:val="fr-FR"/>
        </w:rPr>
        <w:fldChar w:fldCharType="end"/>
      </w:r>
      <w:r w:rsidR="00E77CB3" w:rsidRPr="00E267AB">
        <w:rPr>
          <w:lang w:val="fr-FR"/>
        </w:rPr>
        <w:t>.  </w:t>
      </w:r>
      <w:r w:rsidR="00043498" w:rsidRPr="00E267AB">
        <w:rPr>
          <w:lang w:val="fr-FR"/>
        </w:rPr>
        <w:t>C</w:t>
      </w:r>
      <w:r w:rsidR="00E77CB3" w:rsidRPr="00E267AB">
        <w:rPr>
          <w:lang w:val="fr-FR"/>
        </w:rPr>
        <w:t>onstat</w:t>
      </w:r>
      <w:r w:rsidR="00043498" w:rsidRPr="00E267AB">
        <w:rPr>
          <w:lang w:val="fr-FR"/>
        </w:rPr>
        <w:t>ant</w:t>
      </w:r>
      <w:r w:rsidR="00E77CB3" w:rsidRPr="00E267AB">
        <w:rPr>
          <w:lang w:val="fr-FR"/>
        </w:rPr>
        <w:t xml:space="preserve"> que </w:t>
      </w:r>
      <w:r w:rsidRPr="00E267AB">
        <w:rPr>
          <w:lang w:val="fr-FR"/>
        </w:rPr>
        <w:t>la requête</w:t>
      </w:r>
      <w:r w:rsidR="00E77CB3" w:rsidRPr="00E267AB">
        <w:rPr>
          <w:lang w:val="fr-FR"/>
        </w:rPr>
        <w:t xml:space="preserve"> n</w:t>
      </w:r>
      <w:r w:rsidR="00E267AB" w:rsidRPr="00E267AB">
        <w:rPr>
          <w:lang w:val="fr-FR"/>
        </w:rPr>
        <w:t>’</w:t>
      </w:r>
      <w:r w:rsidR="00E77CB3" w:rsidRPr="00E267AB">
        <w:rPr>
          <w:lang w:val="fr-FR"/>
        </w:rPr>
        <w:t>est pas manifestement mal fondée au sens de l</w:t>
      </w:r>
      <w:r w:rsidR="00E267AB" w:rsidRPr="00E267AB">
        <w:rPr>
          <w:lang w:val="fr-FR"/>
        </w:rPr>
        <w:t>’</w:t>
      </w:r>
      <w:r w:rsidR="00E77CB3" w:rsidRPr="00E267AB">
        <w:rPr>
          <w:lang w:val="fr-FR"/>
        </w:rPr>
        <w:t>article 35 § 3 a) de la Convention</w:t>
      </w:r>
      <w:r w:rsidR="00694A2E" w:rsidRPr="00E267AB">
        <w:rPr>
          <w:lang w:val="fr-FR"/>
        </w:rPr>
        <w:t xml:space="preserve"> et qu</w:t>
      </w:r>
      <w:r w:rsidR="00E267AB" w:rsidRPr="00E267AB">
        <w:rPr>
          <w:lang w:val="fr-FR"/>
        </w:rPr>
        <w:t>’</w:t>
      </w:r>
      <w:r w:rsidR="00AA68FE" w:rsidRPr="00E267AB">
        <w:rPr>
          <w:lang w:val="fr-FR"/>
        </w:rPr>
        <w:t>elle</w:t>
      </w:r>
      <w:r w:rsidR="00694A2E" w:rsidRPr="00E267AB">
        <w:rPr>
          <w:lang w:val="fr-FR"/>
        </w:rPr>
        <w:t xml:space="preserve"> ne se heurte par ailleurs </w:t>
      </w:r>
      <w:r w:rsidR="00E77CB3" w:rsidRPr="00E267AB">
        <w:rPr>
          <w:lang w:val="fr-FR"/>
        </w:rPr>
        <w:t>à aucun autre motif d</w:t>
      </w:r>
      <w:r w:rsidR="00E267AB" w:rsidRPr="00E267AB">
        <w:rPr>
          <w:lang w:val="fr-FR"/>
        </w:rPr>
        <w:t>’</w:t>
      </w:r>
      <w:r w:rsidR="00E77CB3" w:rsidRPr="00E267AB">
        <w:rPr>
          <w:lang w:val="fr-FR"/>
        </w:rPr>
        <w:t>irrecevabilité</w:t>
      </w:r>
      <w:r w:rsidR="00043498" w:rsidRPr="00E267AB">
        <w:rPr>
          <w:lang w:val="fr-FR"/>
        </w:rPr>
        <w:t>, la Cour</w:t>
      </w:r>
      <w:r w:rsidR="000F00EF" w:rsidRPr="00E267AB">
        <w:rPr>
          <w:lang w:val="fr-FR"/>
        </w:rPr>
        <w:t xml:space="preserve"> la déclare</w:t>
      </w:r>
      <w:r w:rsidR="00875AB3" w:rsidRPr="00E267AB">
        <w:rPr>
          <w:lang w:val="fr-FR"/>
        </w:rPr>
        <w:t xml:space="preserve"> </w:t>
      </w:r>
      <w:r w:rsidR="000F00EF" w:rsidRPr="00E267AB">
        <w:rPr>
          <w:lang w:val="fr-FR"/>
        </w:rPr>
        <w:t>recevable</w:t>
      </w:r>
      <w:r w:rsidR="00E77CB3" w:rsidRPr="00E267AB">
        <w:rPr>
          <w:lang w:val="fr-FR"/>
        </w:rPr>
        <w:t>.</w:t>
      </w:r>
    </w:p>
    <w:p w:rsidR="00E77CB3" w:rsidRPr="00E267AB" w:rsidRDefault="001C7FA3" w:rsidP="00E267AB">
      <w:pPr>
        <w:pStyle w:val="ECHRHeading2"/>
        <w:outlineLvl w:val="0"/>
        <w:rPr>
          <w:lang w:val="fr-FR"/>
        </w:rPr>
      </w:pPr>
      <w:r w:rsidRPr="00E267AB">
        <w:rPr>
          <w:lang w:val="fr-FR"/>
        </w:rPr>
        <w:t>C</w:t>
      </w:r>
      <w:r w:rsidR="00E77CB3" w:rsidRPr="00E267AB">
        <w:rPr>
          <w:lang w:val="fr-FR"/>
        </w:rPr>
        <w:t>.  Sur le fond</w:t>
      </w:r>
    </w:p>
    <w:p w:rsidR="001C4D7A" w:rsidRPr="00E267AB" w:rsidRDefault="001C4D7A" w:rsidP="00E267AB">
      <w:pPr>
        <w:pStyle w:val="ECHRHeading3"/>
        <w:rPr>
          <w:lang w:val="fr-FR"/>
        </w:rPr>
      </w:pPr>
      <w:r w:rsidRPr="00E267AB">
        <w:rPr>
          <w:lang w:val="fr-FR"/>
        </w:rPr>
        <w:t>1.</w:t>
      </w:r>
      <w:r w:rsidR="00B21E1F" w:rsidRPr="00E267AB">
        <w:rPr>
          <w:lang w:val="fr-FR"/>
        </w:rPr>
        <w:t>  </w:t>
      </w:r>
      <w:r w:rsidRPr="00E267AB">
        <w:rPr>
          <w:lang w:val="fr-FR"/>
        </w:rPr>
        <w:t>Thèses des parties</w:t>
      </w:r>
    </w:p>
    <w:p w:rsidR="00AA68FE" w:rsidRPr="00E267AB" w:rsidRDefault="00F77BDB"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93</w:t>
      </w:r>
      <w:r w:rsidRPr="00E267AB">
        <w:rPr>
          <w:lang w:val="fr-FR"/>
        </w:rPr>
        <w:fldChar w:fldCharType="end"/>
      </w:r>
      <w:r w:rsidR="00E77CB3" w:rsidRPr="00E267AB">
        <w:rPr>
          <w:lang w:val="fr-FR"/>
        </w:rPr>
        <w:t>.  </w:t>
      </w:r>
      <w:r w:rsidRPr="00E267AB">
        <w:rPr>
          <w:lang w:val="fr-FR"/>
        </w:rPr>
        <w:t>Le requérant</w:t>
      </w:r>
      <w:r w:rsidR="00E77CB3" w:rsidRPr="00E267AB">
        <w:rPr>
          <w:lang w:val="fr-FR"/>
        </w:rPr>
        <w:t xml:space="preserve"> </w:t>
      </w:r>
      <w:r w:rsidR="00AC1B10" w:rsidRPr="00E267AB">
        <w:rPr>
          <w:lang w:val="fr-FR"/>
        </w:rPr>
        <w:t>indique</w:t>
      </w:r>
      <w:r w:rsidR="008A5B9D" w:rsidRPr="00E267AB">
        <w:rPr>
          <w:lang w:val="fr-FR"/>
        </w:rPr>
        <w:t xml:space="preserve"> qu</w:t>
      </w:r>
      <w:r w:rsidR="00E267AB" w:rsidRPr="00E267AB">
        <w:rPr>
          <w:lang w:val="fr-FR"/>
        </w:rPr>
        <w:t>’</w:t>
      </w:r>
      <w:r w:rsidR="008A5B9D" w:rsidRPr="00E267AB">
        <w:rPr>
          <w:lang w:val="fr-FR"/>
        </w:rPr>
        <w:t xml:space="preserve">en 2008 les services </w:t>
      </w:r>
      <w:r w:rsidR="00AA68FE" w:rsidRPr="00E267AB">
        <w:rPr>
          <w:lang w:val="fr-FR"/>
        </w:rPr>
        <w:t>sociaux</w:t>
      </w:r>
      <w:r w:rsidR="008A5B9D" w:rsidRPr="00E267AB">
        <w:rPr>
          <w:lang w:val="fr-FR"/>
        </w:rPr>
        <w:t xml:space="preserve"> </w:t>
      </w:r>
      <w:r w:rsidR="006521B4" w:rsidRPr="00E267AB">
        <w:rPr>
          <w:lang w:val="fr-FR"/>
        </w:rPr>
        <w:t>ont</w:t>
      </w:r>
      <w:r w:rsidR="008A5B9D" w:rsidRPr="00E267AB">
        <w:rPr>
          <w:lang w:val="fr-FR"/>
        </w:rPr>
        <w:t xml:space="preserve"> signalé que l</w:t>
      </w:r>
      <w:r w:rsidR="00E267AB" w:rsidRPr="00E267AB">
        <w:rPr>
          <w:lang w:val="fr-FR"/>
        </w:rPr>
        <w:t>’</w:t>
      </w:r>
      <w:r w:rsidR="008A5B9D" w:rsidRPr="00E267AB">
        <w:rPr>
          <w:lang w:val="fr-FR"/>
        </w:rPr>
        <w:t xml:space="preserve">enfant </w:t>
      </w:r>
      <w:r w:rsidR="00AA68FE" w:rsidRPr="00E267AB">
        <w:rPr>
          <w:lang w:val="fr-FR"/>
        </w:rPr>
        <w:t xml:space="preserve">avait </w:t>
      </w:r>
      <w:r w:rsidR="001C4D7A" w:rsidRPr="00E267AB">
        <w:rPr>
          <w:lang w:val="fr-FR"/>
        </w:rPr>
        <w:t xml:space="preserve">une </w:t>
      </w:r>
      <w:r w:rsidR="007D385B" w:rsidRPr="00E267AB">
        <w:rPr>
          <w:lang w:val="fr-FR"/>
        </w:rPr>
        <w:t>attitude</w:t>
      </w:r>
      <w:r w:rsidR="00AA68FE" w:rsidRPr="00E267AB">
        <w:rPr>
          <w:lang w:val="fr-FR"/>
        </w:rPr>
        <w:t xml:space="preserve"> positi</w:t>
      </w:r>
      <w:r w:rsidR="001C4D7A" w:rsidRPr="00E267AB">
        <w:rPr>
          <w:lang w:val="fr-FR"/>
        </w:rPr>
        <w:t>ve</w:t>
      </w:r>
      <w:r w:rsidR="00AC1B10" w:rsidRPr="00E267AB">
        <w:rPr>
          <w:lang w:val="fr-FR"/>
        </w:rPr>
        <w:t xml:space="preserve"> à son égard</w:t>
      </w:r>
      <w:r w:rsidR="007D385B" w:rsidRPr="00E267AB">
        <w:rPr>
          <w:lang w:val="fr-FR"/>
        </w:rPr>
        <w:t xml:space="preserve"> </w:t>
      </w:r>
      <w:r w:rsidR="008A5B9D" w:rsidRPr="00E267AB">
        <w:rPr>
          <w:lang w:val="fr-FR"/>
        </w:rPr>
        <w:t xml:space="preserve">et </w:t>
      </w:r>
      <w:r w:rsidR="00AC1B10" w:rsidRPr="00E267AB">
        <w:rPr>
          <w:lang w:val="fr-FR"/>
        </w:rPr>
        <w:t>qu</w:t>
      </w:r>
      <w:r w:rsidR="00E267AB" w:rsidRPr="00E267AB">
        <w:rPr>
          <w:lang w:val="fr-FR"/>
        </w:rPr>
        <w:t>’</w:t>
      </w:r>
      <w:r w:rsidR="008A5B9D" w:rsidRPr="00E267AB">
        <w:rPr>
          <w:lang w:val="fr-FR"/>
        </w:rPr>
        <w:t xml:space="preserve">elle était </w:t>
      </w:r>
      <w:r w:rsidR="007D385B" w:rsidRPr="00E267AB">
        <w:rPr>
          <w:lang w:val="fr-FR"/>
        </w:rPr>
        <w:t xml:space="preserve">heureuse </w:t>
      </w:r>
      <w:r w:rsidR="008A5B9D" w:rsidRPr="00E267AB">
        <w:rPr>
          <w:lang w:val="fr-FR"/>
        </w:rPr>
        <w:t xml:space="preserve">de jouer avec lui. </w:t>
      </w:r>
      <w:r w:rsidR="00AC1B10" w:rsidRPr="00E267AB">
        <w:rPr>
          <w:lang w:val="fr-FR"/>
        </w:rPr>
        <w:t>Il ajoute qu</w:t>
      </w:r>
      <w:r w:rsidR="007D385B" w:rsidRPr="00E267AB">
        <w:rPr>
          <w:lang w:val="fr-FR"/>
        </w:rPr>
        <w:t xml:space="preserve">e, </w:t>
      </w:r>
      <w:r w:rsidR="004722D8" w:rsidRPr="00E267AB">
        <w:rPr>
          <w:lang w:val="fr-FR"/>
        </w:rPr>
        <w:t>d</w:t>
      </w:r>
      <w:r w:rsidR="00E267AB" w:rsidRPr="00E267AB">
        <w:rPr>
          <w:lang w:val="fr-FR"/>
        </w:rPr>
        <w:t>’</w:t>
      </w:r>
      <w:r w:rsidR="004722D8" w:rsidRPr="00E267AB">
        <w:rPr>
          <w:lang w:val="fr-FR"/>
        </w:rPr>
        <w:t xml:space="preserve">une part, </w:t>
      </w:r>
      <w:r w:rsidR="00AA68FE" w:rsidRPr="00E267AB">
        <w:rPr>
          <w:lang w:val="fr-FR"/>
        </w:rPr>
        <w:t xml:space="preserve">à partir de 2009, </w:t>
      </w:r>
      <w:r w:rsidR="007D385B" w:rsidRPr="00E267AB">
        <w:rPr>
          <w:lang w:val="fr-FR"/>
        </w:rPr>
        <w:t>l</w:t>
      </w:r>
      <w:r w:rsidR="00E267AB" w:rsidRPr="00E267AB">
        <w:rPr>
          <w:lang w:val="fr-FR"/>
        </w:rPr>
        <w:t>’</w:t>
      </w:r>
      <w:r w:rsidR="007D385B" w:rsidRPr="00E267AB">
        <w:rPr>
          <w:lang w:val="fr-FR"/>
        </w:rPr>
        <w:t>enfant a continué à vivre chez sa mère</w:t>
      </w:r>
      <w:r w:rsidR="004722D8" w:rsidRPr="00E267AB">
        <w:rPr>
          <w:lang w:val="fr-FR"/>
        </w:rPr>
        <w:t xml:space="preserve"> et qu</w:t>
      </w:r>
      <w:r w:rsidR="00E267AB" w:rsidRPr="00E267AB">
        <w:rPr>
          <w:lang w:val="fr-FR"/>
        </w:rPr>
        <w:t>’</w:t>
      </w:r>
      <w:r w:rsidR="004722D8" w:rsidRPr="00E267AB">
        <w:rPr>
          <w:lang w:val="fr-FR"/>
        </w:rPr>
        <w:t>elle n</w:t>
      </w:r>
      <w:r w:rsidR="00E267AB" w:rsidRPr="00E267AB">
        <w:rPr>
          <w:lang w:val="fr-FR"/>
        </w:rPr>
        <w:t>’</w:t>
      </w:r>
      <w:r w:rsidR="004722D8" w:rsidRPr="00E267AB">
        <w:rPr>
          <w:lang w:val="fr-FR"/>
        </w:rPr>
        <w:t xml:space="preserve">a plus voulu le voir </w:t>
      </w:r>
      <w:r w:rsidR="008A5B9D" w:rsidRPr="00E267AB">
        <w:rPr>
          <w:lang w:val="fr-FR"/>
        </w:rPr>
        <w:t xml:space="preserve">à cause </w:t>
      </w:r>
      <w:r w:rsidR="004C3ECD" w:rsidRPr="00E267AB">
        <w:rPr>
          <w:lang w:val="fr-FR"/>
        </w:rPr>
        <w:t>d</w:t>
      </w:r>
      <w:r w:rsidR="00E267AB" w:rsidRPr="00E267AB">
        <w:rPr>
          <w:lang w:val="fr-FR"/>
        </w:rPr>
        <w:t>’</w:t>
      </w:r>
      <w:r w:rsidR="004C3ECD" w:rsidRPr="00E267AB">
        <w:rPr>
          <w:lang w:val="fr-FR"/>
        </w:rPr>
        <w:t>une</w:t>
      </w:r>
      <w:r w:rsidR="001C4D7A" w:rsidRPr="00E267AB">
        <w:rPr>
          <w:lang w:val="fr-FR"/>
        </w:rPr>
        <w:t xml:space="preserve"> manipulation </w:t>
      </w:r>
      <w:r w:rsidR="00AC1B10" w:rsidRPr="00E267AB">
        <w:rPr>
          <w:lang w:val="fr-FR"/>
        </w:rPr>
        <w:t>exercée par</w:t>
      </w:r>
      <w:r w:rsidR="001C4D7A" w:rsidRPr="00E267AB">
        <w:rPr>
          <w:lang w:val="fr-FR"/>
        </w:rPr>
        <w:t xml:space="preserve"> </w:t>
      </w:r>
      <w:r w:rsidR="007D385B" w:rsidRPr="00E267AB">
        <w:rPr>
          <w:lang w:val="fr-FR"/>
        </w:rPr>
        <w:t>cette dernière</w:t>
      </w:r>
      <w:r w:rsidR="00AC1B10" w:rsidRPr="00E267AB">
        <w:rPr>
          <w:lang w:val="fr-FR"/>
        </w:rPr>
        <w:t xml:space="preserve">, </w:t>
      </w:r>
      <w:r w:rsidR="007D385B" w:rsidRPr="00E267AB">
        <w:rPr>
          <w:lang w:val="fr-FR"/>
        </w:rPr>
        <w:t xml:space="preserve">laquelle </w:t>
      </w:r>
      <w:r w:rsidR="00AC1B10" w:rsidRPr="00E267AB">
        <w:rPr>
          <w:lang w:val="fr-FR"/>
        </w:rPr>
        <w:t>aurait été</w:t>
      </w:r>
      <w:r w:rsidR="001C4D7A" w:rsidRPr="00E267AB">
        <w:rPr>
          <w:lang w:val="fr-FR"/>
        </w:rPr>
        <w:t xml:space="preserve"> certifiée par les différents experts mandatés par les tribunaux</w:t>
      </w:r>
      <w:r w:rsidR="008A5B9D" w:rsidRPr="00E267AB">
        <w:rPr>
          <w:lang w:val="fr-FR"/>
        </w:rPr>
        <w:t xml:space="preserve"> </w:t>
      </w:r>
      <w:r w:rsidR="001C4D7A" w:rsidRPr="00E267AB">
        <w:rPr>
          <w:lang w:val="fr-FR"/>
        </w:rPr>
        <w:t>et</w:t>
      </w:r>
      <w:r w:rsidR="00AA68FE" w:rsidRPr="00E267AB">
        <w:rPr>
          <w:lang w:val="fr-FR"/>
        </w:rPr>
        <w:t xml:space="preserve"> toléré</w:t>
      </w:r>
      <w:r w:rsidR="001C4D7A" w:rsidRPr="00E267AB">
        <w:rPr>
          <w:lang w:val="fr-FR"/>
        </w:rPr>
        <w:t>e</w:t>
      </w:r>
      <w:r w:rsidR="00AA68FE" w:rsidRPr="00E267AB">
        <w:rPr>
          <w:lang w:val="fr-FR"/>
        </w:rPr>
        <w:t xml:space="preserve"> par </w:t>
      </w:r>
      <w:r w:rsidR="007D385B" w:rsidRPr="00E267AB">
        <w:rPr>
          <w:lang w:val="fr-FR"/>
        </w:rPr>
        <w:t>ceux-ci</w:t>
      </w:r>
      <w:r w:rsidR="00AA68FE" w:rsidRPr="00E267AB">
        <w:rPr>
          <w:lang w:val="fr-FR"/>
        </w:rPr>
        <w:t xml:space="preserve">, </w:t>
      </w:r>
      <w:r w:rsidR="004722D8" w:rsidRPr="00E267AB">
        <w:rPr>
          <w:lang w:val="fr-FR"/>
        </w:rPr>
        <w:t>et que, d</w:t>
      </w:r>
      <w:r w:rsidR="00E267AB" w:rsidRPr="00E267AB">
        <w:rPr>
          <w:lang w:val="fr-FR"/>
        </w:rPr>
        <w:t>’</w:t>
      </w:r>
      <w:r w:rsidR="004722D8" w:rsidRPr="00E267AB">
        <w:rPr>
          <w:lang w:val="fr-FR"/>
        </w:rPr>
        <w:t xml:space="preserve">autre part, </w:t>
      </w:r>
      <w:r w:rsidR="00AA68FE" w:rsidRPr="00E267AB">
        <w:rPr>
          <w:lang w:val="fr-FR"/>
        </w:rPr>
        <w:t>les dernières médiations</w:t>
      </w:r>
      <w:r w:rsidR="008A5B9D" w:rsidRPr="00E267AB">
        <w:rPr>
          <w:lang w:val="fr-FR"/>
        </w:rPr>
        <w:t xml:space="preserve"> n</w:t>
      </w:r>
      <w:r w:rsidR="00E267AB" w:rsidRPr="00E267AB">
        <w:rPr>
          <w:lang w:val="fr-FR"/>
        </w:rPr>
        <w:t>’</w:t>
      </w:r>
      <w:r w:rsidR="006521B4" w:rsidRPr="00E267AB">
        <w:rPr>
          <w:lang w:val="fr-FR"/>
        </w:rPr>
        <w:t>ont</w:t>
      </w:r>
      <w:r w:rsidR="008A5B9D" w:rsidRPr="00E267AB">
        <w:rPr>
          <w:lang w:val="fr-FR"/>
        </w:rPr>
        <w:t xml:space="preserve"> pas </w:t>
      </w:r>
      <w:r w:rsidR="007D385B" w:rsidRPr="00E267AB">
        <w:rPr>
          <w:lang w:val="fr-FR"/>
        </w:rPr>
        <w:t>permis de résoudre</w:t>
      </w:r>
      <w:r w:rsidR="008A5B9D" w:rsidRPr="00E267AB">
        <w:rPr>
          <w:lang w:val="fr-FR"/>
        </w:rPr>
        <w:t xml:space="preserve"> la situation.</w:t>
      </w:r>
      <w:r w:rsidR="00AA68FE" w:rsidRPr="00E267AB">
        <w:rPr>
          <w:lang w:val="fr-FR"/>
        </w:rPr>
        <w:t xml:space="preserve"> Il </w:t>
      </w:r>
      <w:r w:rsidR="000C7189" w:rsidRPr="00E267AB">
        <w:rPr>
          <w:lang w:val="fr-FR"/>
        </w:rPr>
        <w:t xml:space="preserve">précise </w:t>
      </w:r>
      <w:r w:rsidR="00AC1B10" w:rsidRPr="00E267AB">
        <w:rPr>
          <w:lang w:val="fr-FR"/>
        </w:rPr>
        <w:t>à</w:t>
      </w:r>
      <w:r w:rsidR="00AA68FE" w:rsidRPr="00E267AB">
        <w:rPr>
          <w:lang w:val="fr-FR"/>
        </w:rPr>
        <w:t xml:space="preserve"> cet égard que les juridictions </w:t>
      </w:r>
      <w:r w:rsidR="006521B4" w:rsidRPr="00E267AB">
        <w:rPr>
          <w:lang w:val="fr-FR"/>
        </w:rPr>
        <w:t>o</w:t>
      </w:r>
      <w:r w:rsidR="00AC1B10" w:rsidRPr="00E267AB">
        <w:rPr>
          <w:lang w:val="fr-FR"/>
        </w:rPr>
        <w:t>nt</w:t>
      </w:r>
      <w:r w:rsidR="00AA68FE" w:rsidRPr="00E267AB">
        <w:rPr>
          <w:lang w:val="fr-FR"/>
        </w:rPr>
        <w:t xml:space="preserve"> estimé utile de laisser l</w:t>
      </w:r>
      <w:r w:rsidR="00E267AB" w:rsidRPr="00E267AB">
        <w:rPr>
          <w:lang w:val="fr-FR"/>
        </w:rPr>
        <w:t>’</w:t>
      </w:r>
      <w:r w:rsidR="00AA68FE" w:rsidRPr="00E267AB">
        <w:rPr>
          <w:lang w:val="fr-FR"/>
        </w:rPr>
        <w:t xml:space="preserve">enfant </w:t>
      </w:r>
      <w:r w:rsidR="00EC08CB" w:rsidRPr="00E267AB">
        <w:rPr>
          <w:lang w:val="fr-FR"/>
        </w:rPr>
        <w:t xml:space="preserve">vivre </w:t>
      </w:r>
      <w:r w:rsidR="00AA68FE" w:rsidRPr="00E267AB">
        <w:rPr>
          <w:lang w:val="fr-FR"/>
        </w:rPr>
        <w:t xml:space="preserve">chez </w:t>
      </w:r>
      <w:r w:rsidR="00BB3000" w:rsidRPr="00E267AB">
        <w:rPr>
          <w:lang w:val="fr-FR"/>
        </w:rPr>
        <w:t>s</w:t>
      </w:r>
      <w:r w:rsidR="00AA68FE" w:rsidRPr="00E267AB">
        <w:rPr>
          <w:lang w:val="fr-FR"/>
        </w:rPr>
        <w:t>a mère</w:t>
      </w:r>
      <w:r w:rsidR="00AC1B10" w:rsidRPr="00E267AB">
        <w:rPr>
          <w:lang w:val="fr-FR"/>
        </w:rPr>
        <w:t>, et ce en dépit de la teneur d</w:t>
      </w:r>
      <w:r w:rsidR="00AA68FE" w:rsidRPr="00E267AB">
        <w:rPr>
          <w:lang w:val="fr-FR"/>
        </w:rPr>
        <w:t xml:space="preserve">es rapports des services sociaux </w:t>
      </w:r>
      <w:r w:rsidR="00AC1B10" w:rsidRPr="00E267AB">
        <w:rPr>
          <w:lang w:val="fr-FR"/>
        </w:rPr>
        <w:t>qui auraient fait état</w:t>
      </w:r>
      <w:r w:rsidR="00AA68FE" w:rsidRPr="00E267AB">
        <w:rPr>
          <w:lang w:val="fr-FR"/>
        </w:rPr>
        <w:t xml:space="preserve"> de la manipulation exercée sur </w:t>
      </w:r>
      <w:r w:rsidR="00AC1B10" w:rsidRPr="00E267AB">
        <w:rPr>
          <w:lang w:val="fr-FR"/>
        </w:rPr>
        <w:t>l</w:t>
      </w:r>
      <w:r w:rsidR="00BB3000" w:rsidRPr="00E267AB">
        <w:rPr>
          <w:lang w:val="fr-FR"/>
        </w:rPr>
        <w:t>a mineure</w:t>
      </w:r>
      <w:r w:rsidR="00AA68FE" w:rsidRPr="00E267AB">
        <w:rPr>
          <w:lang w:val="fr-FR"/>
        </w:rPr>
        <w:t>.</w:t>
      </w:r>
    </w:p>
    <w:p w:rsidR="00B21E1F" w:rsidRPr="00E267AB" w:rsidRDefault="00AA68FE"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94</w:t>
      </w:r>
      <w:r w:rsidRPr="00E267AB">
        <w:rPr>
          <w:lang w:val="fr-FR"/>
        </w:rPr>
        <w:fldChar w:fldCharType="end"/>
      </w:r>
      <w:r w:rsidRPr="00E267AB">
        <w:rPr>
          <w:lang w:val="fr-FR"/>
        </w:rPr>
        <w:t>.  </w:t>
      </w:r>
      <w:r w:rsidR="00AC1B10" w:rsidRPr="00E267AB">
        <w:rPr>
          <w:lang w:val="fr-FR"/>
        </w:rPr>
        <w:t>En outre, l</w:t>
      </w:r>
      <w:r w:rsidRPr="00E267AB">
        <w:rPr>
          <w:lang w:val="fr-FR"/>
        </w:rPr>
        <w:t xml:space="preserve">e requérant </w:t>
      </w:r>
      <w:r w:rsidR="00AC57BA" w:rsidRPr="00E267AB">
        <w:rPr>
          <w:lang w:val="fr-FR"/>
        </w:rPr>
        <w:t xml:space="preserve">ajoute </w:t>
      </w:r>
      <w:r w:rsidRPr="00E267AB">
        <w:rPr>
          <w:lang w:val="fr-FR"/>
        </w:rPr>
        <w:t xml:space="preserve">que les juridictions internes ont </w:t>
      </w:r>
      <w:r w:rsidR="000C7189" w:rsidRPr="00E267AB">
        <w:rPr>
          <w:lang w:val="fr-FR"/>
        </w:rPr>
        <w:t xml:space="preserve">décidé de ne pas déchoir </w:t>
      </w:r>
      <w:r w:rsidRPr="00E267AB">
        <w:rPr>
          <w:lang w:val="fr-FR"/>
        </w:rPr>
        <w:t>la mère de l</w:t>
      </w:r>
      <w:r w:rsidR="00E267AB" w:rsidRPr="00E267AB">
        <w:rPr>
          <w:lang w:val="fr-FR"/>
        </w:rPr>
        <w:t>’</w:t>
      </w:r>
      <w:r w:rsidRPr="00E267AB">
        <w:rPr>
          <w:lang w:val="fr-FR"/>
        </w:rPr>
        <w:t xml:space="preserve">autorité parentale, </w:t>
      </w:r>
      <w:r w:rsidR="00AC57BA" w:rsidRPr="00E267AB">
        <w:rPr>
          <w:lang w:val="fr-FR"/>
        </w:rPr>
        <w:t>alors</w:t>
      </w:r>
      <w:r w:rsidRPr="00E267AB">
        <w:rPr>
          <w:lang w:val="fr-FR"/>
        </w:rPr>
        <w:t xml:space="preserve"> que son droit de visite n</w:t>
      </w:r>
      <w:r w:rsidR="00E267AB" w:rsidRPr="00E267AB">
        <w:rPr>
          <w:lang w:val="fr-FR"/>
        </w:rPr>
        <w:t>’</w:t>
      </w:r>
      <w:r w:rsidR="00AC57BA" w:rsidRPr="00E267AB">
        <w:rPr>
          <w:lang w:val="fr-FR"/>
        </w:rPr>
        <w:t>aurait</w:t>
      </w:r>
      <w:r w:rsidRPr="00E267AB">
        <w:rPr>
          <w:lang w:val="fr-FR"/>
        </w:rPr>
        <w:t xml:space="preserve"> pas été respecté depuis plusieurs années. Il </w:t>
      </w:r>
      <w:r w:rsidR="00AC57BA" w:rsidRPr="00E267AB">
        <w:rPr>
          <w:lang w:val="fr-FR"/>
        </w:rPr>
        <w:t>affirme</w:t>
      </w:r>
      <w:r w:rsidRPr="00E267AB">
        <w:rPr>
          <w:lang w:val="fr-FR"/>
        </w:rPr>
        <w:t xml:space="preserve"> que l</w:t>
      </w:r>
      <w:r w:rsidR="00E267AB" w:rsidRPr="00E267AB">
        <w:rPr>
          <w:lang w:val="fr-FR"/>
        </w:rPr>
        <w:t>’</w:t>
      </w:r>
      <w:r w:rsidRPr="00E267AB">
        <w:rPr>
          <w:lang w:val="fr-FR"/>
        </w:rPr>
        <w:t>écoulement du temps a eu des conséquences très graves pour sa relation avec S.</w:t>
      </w:r>
      <w:r w:rsidR="00AC57BA" w:rsidRPr="00E267AB">
        <w:rPr>
          <w:lang w:val="fr-FR"/>
        </w:rPr>
        <w:t xml:space="preserve">, </w:t>
      </w:r>
      <w:r w:rsidR="00F4115D" w:rsidRPr="00E267AB">
        <w:rPr>
          <w:lang w:val="fr-FR"/>
        </w:rPr>
        <w:t>relation qui se trouve</w:t>
      </w:r>
      <w:r w:rsidR="00AC57BA" w:rsidRPr="00E267AB">
        <w:rPr>
          <w:lang w:val="fr-FR"/>
        </w:rPr>
        <w:t>rait</w:t>
      </w:r>
      <w:r w:rsidRPr="00E267AB">
        <w:rPr>
          <w:lang w:val="fr-FR"/>
        </w:rPr>
        <w:t xml:space="preserve"> désormais compromise. Selon le requérant, la rupture des contacts avec S.</w:t>
      </w:r>
      <w:r w:rsidR="00AC57BA" w:rsidRPr="00E267AB">
        <w:rPr>
          <w:lang w:val="fr-FR"/>
        </w:rPr>
        <w:t>,</w:t>
      </w:r>
      <w:r w:rsidRPr="00E267AB">
        <w:rPr>
          <w:lang w:val="fr-FR"/>
        </w:rPr>
        <w:t xml:space="preserve"> suivie d</w:t>
      </w:r>
      <w:r w:rsidR="00E267AB" w:rsidRPr="00E267AB">
        <w:rPr>
          <w:lang w:val="fr-FR"/>
        </w:rPr>
        <w:t>’</w:t>
      </w:r>
      <w:r w:rsidRPr="00E267AB">
        <w:rPr>
          <w:lang w:val="fr-FR"/>
        </w:rPr>
        <w:t>un</w:t>
      </w:r>
      <w:r w:rsidR="00AC57BA" w:rsidRPr="00E267AB">
        <w:rPr>
          <w:lang w:val="fr-FR"/>
        </w:rPr>
        <w:t>e limitation de son</w:t>
      </w:r>
      <w:r w:rsidRPr="00E267AB">
        <w:rPr>
          <w:lang w:val="fr-FR"/>
        </w:rPr>
        <w:t xml:space="preserve"> droit de visite</w:t>
      </w:r>
      <w:r w:rsidR="00AC57BA" w:rsidRPr="00E267AB">
        <w:rPr>
          <w:lang w:val="fr-FR"/>
        </w:rPr>
        <w:t xml:space="preserve"> qui aurait </w:t>
      </w:r>
      <w:r w:rsidR="00F4115D" w:rsidRPr="00E267AB">
        <w:rPr>
          <w:lang w:val="fr-FR"/>
        </w:rPr>
        <w:t>résulté</w:t>
      </w:r>
      <w:r w:rsidRPr="00E267AB">
        <w:rPr>
          <w:lang w:val="fr-FR"/>
        </w:rPr>
        <w:t xml:space="preserve"> d</w:t>
      </w:r>
      <w:r w:rsidR="00E267AB" w:rsidRPr="00E267AB">
        <w:rPr>
          <w:lang w:val="fr-FR"/>
        </w:rPr>
        <w:t>’</w:t>
      </w:r>
      <w:r w:rsidR="00AC57BA" w:rsidRPr="00E267AB">
        <w:rPr>
          <w:lang w:val="fr-FR"/>
        </w:rPr>
        <w:t>un</w:t>
      </w:r>
      <w:r w:rsidR="00767126" w:rsidRPr="00E267AB">
        <w:rPr>
          <w:lang w:val="fr-FR"/>
        </w:rPr>
        <w:t>e</w:t>
      </w:r>
      <w:r w:rsidRPr="00E267AB">
        <w:rPr>
          <w:lang w:val="fr-FR"/>
        </w:rPr>
        <w:t xml:space="preserve"> non-</w:t>
      </w:r>
      <w:r w:rsidR="00767126" w:rsidRPr="00E267AB">
        <w:rPr>
          <w:lang w:val="fr-FR"/>
        </w:rPr>
        <w:t>tenue</w:t>
      </w:r>
      <w:r w:rsidR="00272D40" w:rsidRPr="00E267AB">
        <w:rPr>
          <w:lang w:val="fr-FR"/>
        </w:rPr>
        <w:t xml:space="preserve"> </w:t>
      </w:r>
      <w:r w:rsidRPr="00E267AB">
        <w:rPr>
          <w:lang w:val="fr-FR"/>
        </w:rPr>
        <w:t>des rencontres</w:t>
      </w:r>
      <w:r w:rsidR="00AC57BA" w:rsidRPr="00E267AB">
        <w:rPr>
          <w:lang w:val="fr-FR"/>
        </w:rPr>
        <w:t>, a</w:t>
      </w:r>
      <w:r w:rsidRPr="00E267AB">
        <w:rPr>
          <w:lang w:val="fr-FR"/>
        </w:rPr>
        <w:t xml:space="preserve"> rendu impossible l</w:t>
      </w:r>
      <w:r w:rsidR="00E267AB" w:rsidRPr="00E267AB">
        <w:rPr>
          <w:lang w:val="fr-FR"/>
        </w:rPr>
        <w:t>’</w:t>
      </w:r>
      <w:r w:rsidR="00AC57BA" w:rsidRPr="00E267AB">
        <w:rPr>
          <w:lang w:val="fr-FR"/>
        </w:rPr>
        <w:t>établissement</w:t>
      </w:r>
      <w:r w:rsidRPr="00E267AB">
        <w:rPr>
          <w:lang w:val="fr-FR"/>
        </w:rPr>
        <w:t xml:space="preserve"> d</w:t>
      </w:r>
      <w:r w:rsidR="00E267AB" w:rsidRPr="00E267AB">
        <w:rPr>
          <w:lang w:val="fr-FR"/>
        </w:rPr>
        <w:t>’</w:t>
      </w:r>
      <w:r w:rsidRPr="00E267AB">
        <w:rPr>
          <w:lang w:val="fr-FR"/>
        </w:rPr>
        <w:t xml:space="preserve">une relation </w:t>
      </w:r>
      <w:r w:rsidR="00AC57BA" w:rsidRPr="00E267AB">
        <w:rPr>
          <w:lang w:val="fr-FR"/>
        </w:rPr>
        <w:t>père-</w:t>
      </w:r>
      <w:r w:rsidRPr="00E267AB">
        <w:rPr>
          <w:lang w:val="fr-FR"/>
        </w:rPr>
        <w:t>fille</w:t>
      </w:r>
      <w:r w:rsidR="0088153F" w:rsidRPr="00E267AB">
        <w:rPr>
          <w:lang w:val="fr-FR"/>
        </w:rPr>
        <w:t xml:space="preserve"> stable</w:t>
      </w:r>
      <w:r w:rsidRPr="00E267AB">
        <w:rPr>
          <w:lang w:val="fr-FR"/>
        </w:rPr>
        <w:t>.</w:t>
      </w:r>
    </w:p>
    <w:p w:rsidR="00B21E1F" w:rsidRPr="00E267AB" w:rsidRDefault="00AA68FE"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95</w:t>
      </w:r>
      <w:r w:rsidRPr="00E267AB">
        <w:rPr>
          <w:lang w:val="fr-FR"/>
        </w:rPr>
        <w:fldChar w:fldCharType="end"/>
      </w:r>
      <w:r w:rsidRPr="00E267AB">
        <w:rPr>
          <w:lang w:val="fr-FR"/>
        </w:rPr>
        <w:t>.  </w:t>
      </w:r>
      <w:r w:rsidR="00F4115D" w:rsidRPr="00E267AB">
        <w:rPr>
          <w:lang w:val="fr-FR"/>
        </w:rPr>
        <w:t xml:space="preserve">Indiquant que </w:t>
      </w:r>
      <w:r w:rsidRPr="00E267AB">
        <w:rPr>
          <w:lang w:val="fr-FR"/>
        </w:rPr>
        <w:t xml:space="preserve">la dernière décision </w:t>
      </w:r>
      <w:r w:rsidR="00F4115D" w:rsidRPr="00E267AB">
        <w:rPr>
          <w:lang w:val="fr-FR"/>
        </w:rPr>
        <w:t>prise en</w:t>
      </w:r>
      <w:r w:rsidRPr="00E267AB">
        <w:rPr>
          <w:lang w:val="fr-FR"/>
        </w:rPr>
        <w:t xml:space="preserve"> </w:t>
      </w:r>
      <w:r w:rsidR="008A5B9D" w:rsidRPr="00E267AB">
        <w:rPr>
          <w:lang w:val="fr-FR"/>
        </w:rPr>
        <w:t xml:space="preserve">2014 </w:t>
      </w:r>
      <w:r w:rsidR="000675FE" w:rsidRPr="00E267AB">
        <w:rPr>
          <w:lang w:val="fr-FR"/>
        </w:rPr>
        <w:t>a</w:t>
      </w:r>
      <w:r w:rsidR="00B95999" w:rsidRPr="00E267AB">
        <w:rPr>
          <w:lang w:val="fr-FR"/>
        </w:rPr>
        <w:t xml:space="preserve"> </w:t>
      </w:r>
      <w:r w:rsidR="000675FE" w:rsidRPr="00E267AB">
        <w:rPr>
          <w:lang w:val="fr-FR"/>
        </w:rPr>
        <w:t xml:space="preserve">confié </w:t>
      </w:r>
      <w:r w:rsidR="008A5B9D" w:rsidRPr="00E267AB">
        <w:rPr>
          <w:lang w:val="fr-FR"/>
        </w:rPr>
        <w:t>la garde d</w:t>
      </w:r>
      <w:r w:rsidRPr="00E267AB">
        <w:rPr>
          <w:lang w:val="fr-FR"/>
        </w:rPr>
        <w:t xml:space="preserve">e </w:t>
      </w:r>
      <w:r w:rsidR="008A5B9D" w:rsidRPr="00E267AB">
        <w:rPr>
          <w:lang w:val="fr-FR"/>
        </w:rPr>
        <w:t>l</w:t>
      </w:r>
      <w:r w:rsidR="00E267AB" w:rsidRPr="00E267AB">
        <w:rPr>
          <w:lang w:val="fr-FR"/>
        </w:rPr>
        <w:t>’</w:t>
      </w:r>
      <w:r w:rsidR="008A5B9D" w:rsidRPr="00E267AB">
        <w:rPr>
          <w:lang w:val="fr-FR"/>
        </w:rPr>
        <w:t xml:space="preserve">enfant aux services </w:t>
      </w:r>
      <w:r w:rsidRPr="00E267AB">
        <w:rPr>
          <w:lang w:val="fr-FR"/>
        </w:rPr>
        <w:t>sociaux</w:t>
      </w:r>
      <w:r w:rsidR="0011304A" w:rsidRPr="00E267AB">
        <w:rPr>
          <w:lang w:val="fr-FR"/>
        </w:rPr>
        <w:t xml:space="preserve"> </w:t>
      </w:r>
      <w:r w:rsidR="00B95999" w:rsidRPr="00E267AB">
        <w:rPr>
          <w:lang w:val="fr-FR"/>
        </w:rPr>
        <w:t xml:space="preserve">et </w:t>
      </w:r>
      <w:r w:rsidR="00CB38F3" w:rsidRPr="00E267AB">
        <w:rPr>
          <w:lang w:val="fr-FR"/>
        </w:rPr>
        <w:t xml:space="preserve">établi </w:t>
      </w:r>
      <w:r w:rsidR="0011304A" w:rsidRPr="00E267AB">
        <w:rPr>
          <w:lang w:val="fr-FR"/>
        </w:rPr>
        <w:t>la résidence principal</w:t>
      </w:r>
      <w:r w:rsidR="00AC57BA" w:rsidRPr="00E267AB">
        <w:rPr>
          <w:lang w:val="fr-FR"/>
        </w:rPr>
        <w:t>e</w:t>
      </w:r>
      <w:r w:rsidR="0011304A" w:rsidRPr="00E267AB">
        <w:rPr>
          <w:lang w:val="fr-FR"/>
        </w:rPr>
        <w:t xml:space="preserve"> de l</w:t>
      </w:r>
      <w:r w:rsidR="00B95999" w:rsidRPr="00E267AB">
        <w:rPr>
          <w:lang w:val="fr-FR"/>
        </w:rPr>
        <w:t>a mineure</w:t>
      </w:r>
      <w:r w:rsidR="0011304A" w:rsidRPr="00E267AB">
        <w:rPr>
          <w:lang w:val="fr-FR"/>
        </w:rPr>
        <w:t xml:space="preserve"> chez N.R., </w:t>
      </w:r>
      <w:r w:rsidR="00CB38F3" w:rsidRPr="00E267AB">
        <w:rPr>
          <w:lang w:val="fr-FR"/>
        </w:rPr>
        <w:t xml:space="preserve">le requérant déplore que </w:t>
      </w:r>
      <w:r w:rsidR="0011304A" w:rsidRPr="00E267AB">
        <w:rPr>
          <w:lang w:val="fr-FR"/>
        </w:rPr>
        <w:t>cette dernière</w:t>
      </w:r>
      <w:r w:rsidR="008A5B9D" w:rsidRPr="00E267AB">
        <w:rPr>
          <w:lang w:val="fr-FR"/>
        </w:rPr>
        <w:t xml:space="preserve"> a</w:t>
      </w:r>
      <w:r w:rsidR="00CB38F3" w:rsidRPr="00E267AB">
        <w:rPr>
          <w:lang w:val="fr-FR"/>
        </w:rPr>
        <w:t>it</w:t>
      </w:r>
      <w:r w:rsidR="008A5B9D" w:rsidRPr="00E267AB">
        <w:rPr>
          <w:lang w:val="fr-FR"/>
        </w:rPr>
        <w:t xml:space="preserve"> pu continuer </w:t>
      </w:r>
      <w:r w:rsidR="00B95999" w:rsidRPr="00E267AB">
        <w:rPr>
          <w:lang w:val="fr-FR"/>
        </w:rPr>
        <w:t>ce qu</w:t>
      </w:r>
      <w:r w:rsidR="00E267AB" w:rsidRPr="00E267AB">
        <w:rPr>
          <w:lang w:val="fr-FR"/>
        </w:rPr>
        <w:t>’</w:t>
      </w:r>
      <w:r w:rsidR="00B95999" w:rsidRPr="00E267AB">
        <w:rPr>
          <w:lang w:val="fr-FR"/>
        </w:rPr>
        <w:t>il qualifie d</w:t>
      </w:r>
      <w:r w:rsidR="00E267AB" w:rsidRPr="00E267AB">
        <w:rPr>
          <w:lang w:val="fr-FR"/>
        </w:rPr>
        <w:t>’</w:t>
      </w:r>
      <w:r w:rsidR="00B95999" w:rsidRPr="00E267AB">
        <w:rPr>
          <w:lang w:val="fr-FR"/>
        </w:rPr>
        <w:t>« </w:t>
      </w:r>
      <w:r w:rsidR="008A5B9D" w:rsidRPr="00E267AB">
        <w:rPr>
          <w:lang w:val="fr-FR"/>
        </w:rPr>
        <w:t xml:space="preserve">œuvre de </w:t>
      </w:r>
      <w:r w:rsidRPr="00E267AB">
        <w:rPr>
          <w:lang w:val="fr-FR"/>
        </w:rPr>
        <w:t>destruction</w:t>
      </w:r>
      <w:r w:rsidR="008A5B9D" w:rsidRPr="00E267AB">
        <w:rPr>
          <w:lang w:val="fr-FR"/>
        </w:rPr>
        <w:t xml:space="preserve"> de la figure </w:t>
      </w:r>
      <w:r w:rsidRPr="00E267AB">
        <w:rPr>
          <w:lang w:val="fr-FR"/>
        </w:rPr>
        <w:t>paternelle</w:t>
      </w:r>
      <w:r w:rsidR="00B95999" w:rsidRPr="00E267AB">
        <w:rPr>
          <w:lang w:val="fr-FR"/>
        </w:rPr>
        <w:t> »</w:t>
      </w:r>
      <w:r w:rsidR="008A5B9D" w:rsidRPr="00E267AB">
        <w:rPr>
          <w:lang w:val="fr-FR"/>
        </w:rPr>
        <w:t xml:space="preserve"> et </w:t>
      </w:r>
      <w:r w:rsidR="00A333CE" w:rsidRPr="00E267AB">
        <w:rPr>
          <w:lang w:val="fr-FR"/>
        </w:rPr>
        <w:t xml:space="preserve">que </w:t>
      </w:r>
      <w:r w:rsidR="00CB56E1" w:rsidRPr="00E267AB">
        <w:rPr>
          <w:lang w:val="fr-FR"/>
        </w:rPr>
        <w:t>l</w:t>
      </w:r>
      <w:r w:rsidRPr="00E267AB">
        <w:rPr>
          <w:lang w:val="fr-FR"/>
        </w:rPr>
        <w:t>es juridictions n</w:t>
      </w:r>
      <w:r w:rsidR="00E267AB" w:rsidRPr="00E267AB">
        <w:rPr>
          <w:lang w:val="fr-FR"/>
        </w:rPr>
        <w:t>’</w:t>
      </w:r>
      <w:r w:rsidR="00CB38F3" w:rsidRPr="00E267AB">
        <w:rPr>
          <w:lang w:val="fr-FR"/>
        </w:rPr>
        <w:t>aie</w:t>
      </w:r>
      <w:r w:rsidRPr="00E267AB">
        <w:rPr>
          <w:lang w:val="fr-FR"/>
        </w:rPr>
        <w:t xml:space="preserve">nt pu que </w:t>
      </w:r>
      <w:r w:rsidR="00A333CE" w:rsidRPr="00E267AB">
        <w:rPr>
          <w:lang w:val="fr-FR"/>
        </w:rPr>
        <w:t>« </w:t>
      </w:r>
      <w:r w:rsidR="008A5B9D" w:rsidRPr="00E267AB">
        <w:rPr>
          <w:lang w:val="fr-FR"/>
        </w:rPr>
        <w:t xml:space="preserve">constater les </w:t>
      </w:r>
      <w:r w:rsidRPr="00E267AB">
        <w:rPr>
          <w:lang w:val="fr-FR"/>
        </w:rPr>
        <w:t>dégâts</w:t>
      </w:r>
      <w:r w:rsidR="00A333CE" w:rsidRPr="00E267AB">
        <w:rPr>
          <w:lang w:val="fr-FR"/>
        </w:rPr>
        <w:t> »</w:t>
      </w:r>
      <w:r w:rsidR="008A5B9D" w:rsidRPr="00E267AB">
        <w:rPr>
          <w:lang w:val="fr-FR"/>
        </w:rPr>
        <w:t>.</w:t>
      </w:r>
    </w:p>
    <w:p w:rsidR="008A5B9D" w:rsidRPr="00E267AB" w:rsidRDefault="00CB56E1"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96</w:t>
      </w:r>
      <w:r w:rsidRPr="00E267AB">
        <w:rPr>
          <w:lang w:val="fr-FR"/>
        </w:rPr>
        <w:fldChar w:fldCharType="end"/>
      </w:r>
      <w:r w:rsidRPr="00E267AB">
        <w:rPr>
          <w:lang w:val="fr-FR"/>
        </w:rPr>
        <w:t>.  </w:t>
      </w:r>
      <w:r w:rsidR="003A19C1" w:rsidRPr="00E267AB">
        <w:rPr>
          <w:lang w:val="fr-FR"/>
        </w:rPr>
        <w:t>Par ailleurs</w:t>
      </w:r>
      <w:r w:rsidR="00CB38F3" w:rsidRPr="00E267AB">
        <w:rPr>
          <w:lang w:val="fr-FR"/>
        </w:rPr>
        <w:t>, l</w:t>
      </w:r>
      <w:r w:rsidR="0011304A" w:rsidRPr="00E267AB">
        <w:rPr>
          <w:lang w:val="fr-FR"/>
        </w:rPr>
        <w:t xml:space="preserve">e requérant </w:t>
      </w:r>
      <w:r w:rsidR="00A333CE" w:rsidRPr="00E267AB">
        <w:rPr>
          <w:lang w:val="fr-FR"/>
        </w:rPr>
        <w:t>soutient</w:t>
      </w:r>
      <w:r w:rsidR="0011304A" w:rsidRPr="00E267AB">
        <w:rPr>
          <w:lang w:val="fr-FR"/>
        </w:rPr>
        <w:t xml:space="preserve"> qu</w:t>
      </w:r>
      <w:r w:rsidR="00E267AB" w:rsidRPr="00E267AB">
        <w:rPr>
          <w:lang w:val="fr-FR"/>
        </w:rPr>
        <w:t>’</w:t>
      </w:r>
      <w:r w:rsidR="0011304A" w:rsidRPr="00E267AB">
        <w:rPr>
          <w:lang w:val="fr-FR"/>
        </w:rPr>
        <w:t>aucune</w:t>
      </w:r>
      <w:r w:rsidR="008A5B9D" w:rsidRPr="00E267AB">
        <w:rPr>
          <w:lang w:val="fr-FR"/>
        </w:rPr>
        <w:t xml:space="preserve"> mesure </w:t>
      </w:r>
      <w:r w:rsidRPr="00E267AB">
        <w:rPr>
          <w:lang w:val="fr-FR"/>
        </w:rPr>
        <w:t xml:space="preserve">empêchant </w:t>
      </w:r>
      <w:r w:rsidR="00551AFC" w:rsidRPr="00E267AB">
        <w:rPr>
          <w:lang w:val="fr-FR"/>
        </w:rPr>
        <w:t xml:space="preserve">une </w:t>
      </w:r>
      <w:r w:rsidRPr="00E267AB">
        <w:rPr>
          <w:lang w:val="fr-FR"/>
        </w:rPr>
        <w:t>aliénation</w:t>
      </w:r>
      <w:r w:rsidR="008A5B9D" w:rsidRPr="00E267AB">
        <w:rPr>
          <w:lang w:val="fr-FR"/>
        </w:rPr>
        <w:t xml:space="preserve"> </w:t>
      </w:r>
      <w:r w:rsidR="001D1AE9" w:rsidRPr="00E267AB">
        <w:rPr>
          <w:lang w:val="fr-FR"/>
        </w:rPr>
        <w:t>p</w:t>
      </w:r>
      <w:r w:rsidR="0048020F" w:rsidRPr="00E267AB">
        <w:rPr>
          <w:lang w:val="fr-FR"/>
        </w:rPr>
        <w:t>arental</w:t>
      </w:r>
      <w:r w:rsidR="001D1AE9" w:rsidRPr="00E267AB">
        <w:rPr>
          <w:lang w:val="fr-FR"/>
        </w:rPr>
        <w:t>e</w:t>
      </w:r>
      <w:r w:rsidR="0011304A" w:rsidRPr="00E267AB">
        <w:rPr>
          <w:lang w:val="fr-FR"/>
        </w:rPr>
        <w:t xml:space="preserve"> </w:t>
      </w:r>
      <w:r w:rsidR="008A5B9D" w:rsidRPr="00E267AB">
        <w:rPr>
          <w:lang w:val="fr-FR"/>
        </w:rPr>
        <w:t>n</w:t>
      </w:r>
      <w:r w:rsidR="00E267AB" w:rsidRPr="00E267AB">
        <w:rPr>
          <w:lang w:val="fr-FR"/>
        </w:rPr>
        <w:t>’</w:t>
      </w:r>
      <w:r w:rsidR="008A5B9D" w:rsidRPr="00E267AB">
        <w:rPr>
          <w:lang w:val="fr-FR"/>
        </w:rPr>
        <w:t>a été mise en place par les tribunaux</w:t>
      </w:r>
      <w:r w:rsidR="0011304A" w:rsidRPr="00E267AB">
        <w:rPr>
          <w:lang w:val="fr-FR"/>
        </w:rPr>
        <w:t xml:space="preserve"> depuis 2008</w:t>
      </w:r>
      <w:r w:rsidR="00A333CE" w:rsidRPr="00E267AB">
        <w:rPr>
          <w:lang w:val="fr-FR"/>
        </w:rPr>
        <w:t xml:space="preserve"> et que l</w:t>
      </w:r>
      <w:r w:rsidRPr="00E267AB">
        <w:rPr>
          <w:lang w:val="fr-FR"/>
        </w:rPr>
        <w:t xml:space="preserve">a décision </w:t>
      </w:r>
      <w:r w:rsidR="008A5B9D" w:rsidRPr="00E267AB">
        <w:rPr>
          <w:lang w:val="fr-FR"/>
        </w:rPr>
        <w:t xml:space="preserve">de 2010 qui </w:t>
      </w:r>
      <w:r w:rsidR="00A333CE" w:rsidRPr="00E267AB">
        <w:rPr>
          <w:lang w:val="fr-FR"/>
        </w:rPr>
        <w:t xml:space="preserve">lui avait </w:t>
      </w:r>
      <w:r w:rsidR="008A5B9D" w:rsidRPr="00E267AB">
        <w:rPr>
          <w:lang w:val="fr-FR"/>
        </w:rPr>
        <w:t>attribu</w:t>
      </w:r>
      <w:r w:rsidR="00CB38F3" w:rsidRPr="00E267AB">
        <w:rPr>
          <w:lang w:val="fr-FR"/>
        </w:rPr>
        <w:t xml:space="preserve">é </w:t>
      </w:r>
      <w:r w:rsidR="008A5B9D" w:rsidRPr="00E267AB">
        <w:rPr>
          <w:lang w:val="fr-FR"/>
        </w:rPr>
        <w:t>la garde</w:t>
      </w:r>
      <w:r w:rsidR="0048020F" w:rsidRPr="00E267AB">
        <w:rPr>
          <w:lang w:val="fr-FR"/>
        </w:rPr>
        <w:t xml:space="preserve"> de l</w:t>
      </w:r>
      <w:r w:rsidR="00E267AB" w:rsidRPr="00E267AB">
        <w:rPr>
          <w:lang w:val="fr-FR"/>
        </w:rPr>
        <w:t>’</w:t>
      </w:r>
      <w:r w:rsidR="0048020F" w:rsidRPr="00E267AB">
        <w:rPr>
          <w:lang w:val="fr-FR"/>
        </w:rPr>
        <w:t>enfant</w:t>
      </w:r>
      <w:r w:rsidR="00B21E1F" w:rsidRPr="00E267AB">
        <w:rPr>
          <w:lang w:val="fr-FR"/>
        </w:rPr>
        <w:t xml:space="preserve"> </w:t>
      </w:r>
      <w:r w:rsidR="00EB4C8B" w:rsidRPr="00E267AB">
        <w:rPr>
          <w:lang w:val="fr-FR"/>
        </w:rPr>
        <w:t>conjointement avec son ex</w:t>
      </w:r>
      <w:r w:rsidR="00EB4C8B" w:rsidRPr="00E267AB">
        <w:rPr>
          <w:lang w:val="fr-FR"/>
        </w:rPr>
        <w:noBreakHyphen/>
        <w:t>épouse</w:t>
      </w:r>
      <w:r w:rsidR="008A5B9D" w:rsidRPr="00E267AB">
        <w:rPr>
          <w:lang w:val="fr-FR"/>
        </w:rPr>
        <w:t xml:space="preserve"> n</w:t>
      </w:r>
      <w:r w:rsidR="00E267AB" w:rsidRPr="00E267AB">
        <w:rPr>
          <w:lang w:val="fr-FR"/>
        </w:rPr>
        <w:t>’</w:t>
      </w:r>
      <w:r w:rsidR="008A5B9D" w:rsidRPr="00E267AB">
        <w:rPr>
          <w:lang w:val="fr-FR"/>
        </w:rPr>
        <w:t xml:space="preserve">a pas été </w:t>
      </w:r>
      <w:r w:rsidRPr="00E267AB">
        <w:rPr>
          <w:lang w:val="fr-FR"/>
        </w:rPr>
        <w:t>exécuté</w:t>
      </w:r>
      <w:r w:rsidR="00A333CE" w:rsidRPr="00E267AB">
        <w:rPr>
          <w:lang w:val="fr-FR"/>
        </w:rPr>
        <w:t>e</w:t>
      </w:r>
      <w:r w:rsidR="008A5B9D" w:rsidRPr="00E267AB">
        <w:rPr>
          <w:lang w:val="fr-FR"/>
        </w:rPr>
        <w:t>.</w:t>
      </w:r>
    </w:p>
    <w:p w:rsidR="0011304A" w:rsidRPr="00E267AB" w:rsidRDefault="00CB56E1"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97</w:t>
      </w:r>
      <w:r w:rsidRPr="00E267AB">
        <w:rPr>
          <w:lang w:val="fr-FR"/>
        </w:rPr>
        <w:fldChar w:fldCharType="end"/>
      </w:r>
      <w:r w:rsidRPr="00E267AB">
        <w:rPr>
          <w:lang w:val="fr-FR"/>
        </w:rPr>
        <w:t xml:space="preserve">.  Le requérant </w:t>
      </w:r>
      <w:r w:rsidR="0091189A" w:rsidRPr="00E267AB">
        <w:rPr>
          <w:lang w:val="fr-FR"/>
        </w:rPr>
        <w:t xml:space="preserve">affirme </w:t>
      </w:r>
      <w:r w:rsidRPr="00E267AB">
        <w:rPr>
          <w:lang w:val="fr-FR"/>
        </w:rPr>
        <w:t>que</w:t>
      </w:r>
      <w:r w:rsidR="00A036C3" w:rsidRPr="00E267AB">
        <w:rPr>
          <w:lang w:val="fr-FR"/>
        </w:rPr>
        <w:t>, pendant une certaine période,</w:t>
      </w:r>
      <w:r w:rsidRPr="00E267AB">
        <w:rPr>
          <w:lang w:val="fr-FR"/>
        </w:rPr>
        <w:t xml:space="preserve"> </w:t>
      </w:r>
      <w:r w:rsidR="008A5B9D" w:rsidRPr="00E267AB">
        <w:rPr>
          <w:lang w:val="fr-FR"/>
        </w:rPr>
        <w:t xml:space="preserve">les services </w:t>
      </w:r>
      <w:r w:rsidRPr="00E267AB">
        <w:rPr>
          <w:lang w:val="fr-FR"/>
        </w:rPr>
        <w:t>sociaux</w:t>
      </w:r>
      <w:r w:rsidR="008A5B9D" w:rsidRPr="00E267AB">
        <w:rPr>
          <w:lang w:val="fr-FR"/>
        </w:rPr>
        <w:t xml:space="preserve"> n</w:t>
      </w:r>
      <w:r w:rsidR="00E267AB" w:rsidRPr="00E267AB">
        <w:rPr>
          <w:lang w:val="fr-FR"/>
        </w:rPr>
        <w:t>’</w:t>
      </w:r>
      <w:r w:rsidR="008A5B9D" w:rsidRPr="00E267AB">
        <w:rPr>
          <w:lang w:val="fr-FR"/>
        </w:rPr>
        <w:t xml:space="preserve">ont pas organisé les rencontres </w:t>
      </w:r>
      <w:r w:rsidR="0091189A" w:rsidRPr="00E267AB">
        <w:rPr>
          <w:lang w:val="fr-FR"/>
        </w:rPr>
        <w:t xml:space="preserve">en milieu protégé </w:t>
      </w:r>
      <w:r w:rsidR="008A5B9D" w:rsidRPr="00E267AB">
        <w:rPr>
          <w:lang w:val="fr-FR"/>
        </w:rPr>
        <w:t xml:space="preserve">de manière </w:t>
      </w:r>
      <w:r w:rsidRPr="00E267AB">
        <w:rPr>
          <w:lang w:val="fr-FR"/>
        </w:rPr>
        <w:t xml:space="preserve">systématique. </w:t>
      </w:r>
      <w:r w:rsidR="00A036C3" w:rsidRPr="00E267AB">
        <w:rPr>
          <w:lang w:val="fr-FR"/>
        </w:rPr>
        <w:t xml:space="preserve">Il ajoute que </w:t>
      </w:r>
      <w:r w:rsidR="008A5B9D" w:rsidRPr="00E267AB">
        <w:rPr>
          <w:lang w:val="fr-FR"/>
        </w:rPr>
        <w:t xml:space="preserve">les experts </w:t>
      </w:r>
      <w:r w:rsidRPr="00E267AB">
        <w:rPr>
          <w:lang w:val="fr-FR"/>
        </w:rPr>
        <w:t>nommés</w:t>
      </w:r>
      <w:r w:rsidR="008A5B9D" w:rsidRPr="00E267AB">
        <w:rPr>
          <w:lang w:val="fr-FR"/>
        </w:rPr>
        <w:t xml:space="preserve"> par les </w:t>
      </w:r>
      <w:r w:rsidRPr="00E267AB">
        <w:rPr>
          <w:lang w:val="fr-FR"/>
        </w:rPr>
        <w:t>tribunaux</w:t>
      </w:r>
      <w:r w:rsidR="008A5B9D" w:rsidRPr="00E267AB">
        <w:rPr>
          <w:lang w:val="fr-FR"/>
        </w:rPr>
        <w:t xml:space="preserve"> ont </w:t>
      </w:r>
      <w:r w:rsidR="00A036C3" w:rsidRPr="00E267AB">
        <w:rPr>
          <w:lang w:val="fr-FR"/>
        </w:rPr>
        <w:t>eux</w:t>
      </w:r>
      <w:r w:rsidR="003D4934" w:rsidRPr="00E267AB">
        <w:rPr>
          <w:lang w:val="fr-FR"/>
        </w:rPr>
        <w:t>-</w:t>
      </w:r>
      <w:r w:rsidR="00A036C3" w:rsidRPr="00E267AB">
        <w:rPr>
          <w:lang w:val="fr-FR"/>
        </w:rPr>
        <w:t xml:space="preserve">mêmes </w:t>
      </w:r>
      <w:r w:rsidR="008A5B9D" w:rsidRPr="00E267AB">
        <w:rPr>
          <w:lang w:val="fr-FR"/>
        </w:rPr>
        <w:t xml:space="preserve">souligné à </w:t>
      </w:r>
      <w:r w:rsidRPr="00E267AB">
        <w:rPr>
          <w:lang w:val="fr-FR"/>
        </w:rPr>
        <w:t>plusieurs</w:t>
      </w:r>
      <w:r w:rsidR="008A5B9D" w:rsidRPr="00E267AB">
        <w:rPr>
          <w:lang w:val="fr-FR"/>
        </w:rPr>
        <w:t xml:space="preserve"> reprises que</w:t>
      </w:r>
      <w:r w:rsidR="00C30074" w:rsidRPr="00E267AB">
        <w:rPr>
          <w:lang w:val="fr-FR"/>
        </w:rPr>
        <w:t xml:space="preserve"> la mère</w:t>
      </w:r>
      <w:r w:rsidR="009D2D25" w:rsidRPr="00E267AB">
        <w:rPr>
          <w:lang w:val="fr-FR"/>
        </w:rPr>
        <w:t xml:space="preserve"> avait comme objectif d</w:t>
      </w:r>
      <w:r w:rsidR="00A036C3" w:rsidRPr="00E267AB">
        <w:rPr>
          <w:lang w:val="fr-FR"/>
        </w:rPr>
        <w:t>e</w:t>
      </w:r>
      <w:r w:rsidR="008A5B9D" w:rsidRPr="00E267AB">
        <w:rPr>
          <w:lang w:val="fr-FR"/>
        </w:rPr>
        <w:t xml:space="preserve"> </w:t>
      </w:r>
      <w:r w:rsidR="00C243E3" w:rsidRPr="00E267AB">
        <w:rPr>
          <w:lang w:val="fr-FR"/>
        </w:rPr>
        <w:t>dresser</w:t>
      </w:r>
      <w:r w:rsidR="008A5B9D" w:rsidRPr="00E267AB">
        <w:rPr>
          <w:lang w:val="fr-FR"/>
        </w:rPr>
        <w:t xml:space="preserve"> l</w:t>
      </w:r>
      <w:r w:rsidR="00E267AB" w:rsidRPr="00E267AB">
        <w:rPr>
          <w:lang w:val="fr-FR"/>
        </w:rPr>
        <w:t>’</w:t>
      </w:r>
      <w:r w:rsidR="008A5B9D" w:rsidRPr="00E267AB">
        <w:rPr>
          <w:lang w:val="fr-FR"/>
        </w:rPr>
        <w:t xml:space="preserve">enfant contre </w:t>
      </w:r>
      <w:r w:rsidR="00A036C3" w:rsidRPr="00E267AB">
        <w:rPr>
          <w:lang w:val="fr-FR"/>
        </w:rPr>
        <w:t>lui</w:t>
      </w:r>
      <w:r w:rsidR="009D2D25" w:rsidRPr="00E267AB">
        <w:rPr>
          <w:lang w:val="fr-FR"/>
        </w:rPr>
        <w:t xml:space="preserve"> – ce qui serait ressorti d</w:t>
      </w:r>
      <w:r w:rsidR="00C30074" w:rsidRPr="00E267AB">
        <w:rPr>
          <w:lang w:val="fr-FR"/>
        </w:rPr>
        <w:t>e son</w:t>
      </w:r>
      <w:r w:rsidR="009D2D25" w:rsidRPr="00E267AB">
        <w:rPr>
          <w:lang w:val="fr-FR"/>
        </w:rPr>
        <w:t xml:space="preserve"> comportement</w:t>
      </w:r>
      <w:r w:rsidR="00C30074" w:rsidRPr="00E267AB">
        <w:rPr>
          <w:lang w:val="fr-FR"/>
        </w:rPr>
        <w:t xml:space="preserve"> – et qu</w:t>
      </w:r>
      <w:r w:rsidR="00E267AB" w:rsidRPr="00E267AB">
        <w:rPr>
          <w:lang w:val="fr-FR"/>
        </w:rPr>
        <w:t>’</w:t>
      </w:r>
      <w:r w:rsidR="00C30074" w:rsidRPr="00E267AB">
        <w:rPr>
          <w:lang w:val="fr-FR"/>
        </w:rPr>
        <w:t xml:space="preserve">elle </w:t>
      </w:r>
      <w:r w:rsidR="008A5B9D" w:rsidRPr="00E267AB">
        <w:rPr>
          <w:lang w:val="fr-FR"/>
        </w:rPr>
        <w:t xml:space="preserve">nuisait au </w:t>
      </w:r>
      <w:r w:rsidRPr="00E267AB">
        <w:rPr>
          <w:lang w:val="fr-FR"/>
        </w:rPr>
        <w:t>développement</w:t>
      </w:r>
      <w:r w:rsidR="008A5B9D" w:rsidRPr="00E267AB">
        <w:rPr>
          <w:lang w:val="fr-FR"/>
        </w:rPr>
        <w:t xml:space="preserve"> </w:t>
      </w:r>
      <w:r w:rsidR="0011304A" w:rsidRPr="00E267AB">
        <w:rPr>
          <w:lang w:val="fr-FR"/>
        </w:rPr>
        <w:t xml:space="preserve">psychique </w:t>
      </w:r>
      <w:r w:rsidR="008A5B9D" w:rsidRPr="00E267AB">
        <w:rPr>
          <w:lang w:val="fr-FR"/>
        </w:rPr>
        <w:t xml:space="preserve">de </w:t>
      </w:r>
      <w:r w:rsidR="00C30074" w:rsidRPr="00E267AB">
        <w:rPr>
          <w:lang w:val="fr-FR"/>
        </w:rPr>
        <w:t>celle-ci</w:t>
      </w:r>
      <w:r w:rsidR="008A5B9D" w:rsidRPr="00E267AB">
        <w:rPr>
          <w:lang w:val="fr-FR"/>
        </w:rPr>
        <w:t>.</w:t>
      </w:r>
      <w:r w:rsidRPr="00E267AB">
        <w:rPr>
          <w:lang w:val="fr-FR"/>
        </w:rPr>
        <w:t xml:space="preserve"> </w:t>
      </w:r>
      <w:r w:rsidR="00A036C3" w:rsidRPr="00E267AB">
        <w:rPr>
          <w:lang w:val="fr-FR"/>
        </w:rPr>
        <w:t xml:space="preserve">Il </w:t>
      </w:r>
      <w:r w:rsidR="00C30074" w:rsidRPr="00E267AB">
        <w:rPr>
          <w:lang w:val="fr-FR"/>
        </w:rPr>
        <w:t>ajoute</w:t>
      </w:r>
      <w:r w:rsidR="00A036C3" w:rsidRPr="00E267AB">
        <w:rPr>
          <w:lang w:val="fr-FR"/>
        </w:rPr>
        <w:t xml:space="preserve"> que son ex-épouse avait </w:t>
      </w:r>
      <w:r w:rsidR="0011304A" w:rsidRPr="00E267AB">
        <w:rPr>
          <w:lang w:val="fr-FR"/>
        </w:rPr>
        <w:t xml:space="preserve">déposé plainte pour abus sexuels et </w:t>
      </w:r>
      <w:r w:rsidR="00A036C3" w:rsidRPr="00E267AB">
        <w:rPr>
          <w:lang w:val="fr-FR"/>
        </w:rPr>
        <w:t>qu</w:t>
      </w:r>
      <w:r w:rsidR="00E267AB" w:rsidRPr="00E267AB">
        <w:rPr>
          <w:lang w:val="fr-FR"/>
        </w:rPr>
        <w:t>’</w:t>
      </w:r>
      <w:r w:rsidR="0011304A" w:rsidRPr="00E267AB">
        <w:rPr>
          <w:lang w:val="fr-FR"/>
        </w:rPr>
        <w:t>il a été acquitté</w:t>
      </w:r>
      <w:r w:rsidR="00A036C3" w:rsidRPr="00E267AB">
        <w:rPr>
          <w:lang w:val="fr-FR"/>
        </w:rPr>
        <w:t>. Aux dires du requérant, n</w:t>
      </w:r>
      <w:r w:rsidRPr="00E267AB">
        <w:rPr>
          <w:lang w:val="fr-FR"/>
        </w:rPr>
        <w:t xml:space="preserve">onobstant </w:t>
      </w:r>
      <w:r w:rsidR="0011304A" w:rsidRPr="00E267AB">
        <w:rPr>
          <w:lang w:val="fr-FR"/>
        </w:rPr>
        <w:t xml:space="preserve">tous ces éléments qui </w:t>
      </w:r>
      <w:r w:rsidR="00A036C3" w:rsidRPr="00E267AB">
        <w:rPr>
          <w:lang w:val="fr-FR"/>
        </w:rPr>
        <w:t>auraient démontré</w:t>
      </w:r>
      <w:r w:rsidR="0011304A" w:rsidRPr="00E267AB">
        <w:rPr>
          <w:lang w:val="fr-FR"/>
        </w:rPr>
        <w:t xml:space="preserve"> </w:t>
      </w:r>
      <w:r w:rsidR="00A036C3" w:rsidRPr="00E267AB">
        <w:rPr>
          <w:lang w:val="fr-FR"/>
        </w:rPr>
        <w:lastRenderedPageBreak/>
        <w:t>l</w:t>
      </w:r>
      <w:r w:rsidR="00E267AB" w:rsidRPr="00E267AB">
        <w:rPr>
          <w:lang w:val="fr-FR"/>
        </w:rPr>
        <w:t>’</w:t>
      </w:r>
      <w:r w:rsidR="00F65DC2" w:rsidRPr="00E267AB">
        <w:rPr>
          <w:lang w:val="fr-FR"/>
        </w:rPr>
        <w:t>inimitié</w:t>
      </w:r>
      <w:r w:rsidR="00A036C3" w:rsidRPr="00E267AB">
        <w:rPr>
          <w:lang w:val="fr-FR"/>
        </w:rPr>
        <w:t xml:space="preserve"> </w:t>
      </w:r>
      <w:r w:rsidR="0011304A" w:rsidRPr="00E267AB">
        <w:rPr>
          <w:lang w:val="fr-FR"/>
        </w:rPr>
        <w:t>de N.R.</w:t>
      </w:r>
      <w:r w:rsidR="00A036C3" w:rsidRPr="00E267AB">
        <w:rPr>
          <w:lang w:val="fr-FR"/>
        </w:rPr>
        <w:t xml:space="preserve"> à son égard</w:t>
      </w:r>
      <w:r w:rsidRPr="00E267AB">
        <w:rPr>
          <w:lang w:val="fr-FR"/>
        </w:rPr>
        <w:t>, les juridictions</w:t>
      </w:r>
      <w:r w:rsidR="008A5B9D" w:rsidRPr="00E267AB">
        <w:rPr>
          <w:lang w:val="fr-FR"/>
        </w:rPr>
        <w:t xml:space="preserve"> ont cont</w:t>
      </w:r>
      <w:r w:rsidRPr="00E267AB">
        <w:rPr>
          <w:lang w:val="fr-FR"/>
        </w:rPr>
        <w:t xml:space="preserve">inué à </w:t>
      </w:r>
      <w:r w:rsidR="00C81A8D" w:rsidRPr="00E267AB">
        <w:rPr>
          <w:lang w:val="fr-FR"/>
        </w:rPr>
        <w:t>maintenir la résidence de</w:t>
      </w:r>
      <w:r w:rsidRPr="00E267AB">
        <w:rPr>
          <w:lang w:val="fr-FR"/>
        </w:rPr>
        <w:t xml:space="preserve"> </w:t>
      </w:r>
      <w:r w:rsidR="008A5B9D" w:rsidRPr="00E267AB">
        <w:rPr>
          <w:lang w:val="fr-FR"/>
        </w:rPr>
        <w:t>l</w:t>
      </w:r>
      <w:r w:rsidR="00E267AB" w:rsidRPr="00E267AB">
        <w:rPr>
          <w:lang w:val="fr-FR"/>
        </w:rPr>
        <w:t>’</w:t>
      </w:r>
      <w:r w:rsidR="008A5B9D" w:rsidRPr="00E267AB">
        <w:rPr>
          <w:lang w:val="fr-FR"/>
        </w:rPr>
        <w:t>enfant chez la mère</w:t>
      </w:r>
      <w:r w:rsidR="00F65DC2" w:rsidRPr="00E267AB">
        <w:rPr>
          <w:lang w:val="fr-FR"/>
        </w:rPr>
        <w:t>, laissant</w:t>
      </w:r>
      <w:r w:rsidR="0011304A" w:rsidRPr="00E267AB">
        <w:rPr>
          <w:lang w:val="fr-FR"/>
        </w:rPr>
        <w:t xml:space="preserve"> </w:t>
      </w:r>
      <w:r w:rsidR="00F65DC2" w:rsidRPr="00E267AB">
        <w:rPr>
          <w:lang w:val="fr-FR"/>
        </w:rPr>
        <w:t xml:space="preserve">ainsi </w:t>
      </w:r>
      <w:r w:rsidR="0011304A" w:rsidRPr="00E267AB">
        <w:rPr>
          <w:lang w:val="fr-FR"/>
        </w:rPr>
        <w:t>l</w:t>
      </w:r>
      <w:r w:rsidR="00C30074" w:rsidRPr="00E267AB">
        <w:rPr>
          <w:lang w:val="fr-FR"/>
        </w:rPr>
        <w:t>a mineure</w:t>
      </w:r>
      <w:r w:rsidR="0011304A" w:rsidRPr="00E267AB">
        <w:rPr>
          <w:lang w:val="fr-FR"/>
        </w:rPr>
        <w:t xml:space="preserve"> dans un environnement </w:t>
      </w:r>
      <w:r w:rsidR="00F65DC2" w:rsidRPr="00E267AB">
        <w:rPr>
          <w:lang w:val="fr-FR"/>
        </w:rPr>
        <w:t>que l</w:t>
      </w:r>
      <w:r w:rsidR="00E267AB" w:rsidRPr="00E267AB">
        <w:rPr>
          <w:lang w:val="fr-FR"/>
        </w:rPr>
        <w:t>’</w:t>
      </w:r>
      <w:r w:rsidR="00F65DC2" w:rsidRPr="00E267AB">
        <w:rPr>
          <w:lang w:val="fr-FR"/>
        </w:rPr>
        <w:t>intéressé qualifie d</w:t>
      </w:r>
      <w:r w:rsidR="00E267AB" w:rsidRPr="00E267AB">
        <w:rPr>
          <w:lang w:val="fr-FR"/>
        </w:rPr>
        <w:t>’</w:t>
      </w:r>
      <w:r w:rsidR="0011304A" w:rsidRPr="00E267AB">
        <w:rPr>
          <w:lang w:val="fr-FR"/>
        </w:rPr>
        <w:t>hostile</w:t>
      </w:r>
      <w:r w:rsidR="00F65DC2" w:rsidRPr="00E267AB">
        <w:rPr>
          <w:lang w:val="fr-FR"/>
        </w:rPr>
        <w:t xml:space="preserve"> à son égard</w:t>
      </w:r>
      <w:r w:rsidR="007166C6" w:rsidRPr="00E267AB">
        <w:rPr>
          <w:lang w:val="fr-FR"/>
        </w:rPr>
        <w:t xml:space="preserve">, </w:t>
      </w:r>
      <w:r w:rsidR="0011304A" w:rsidRPr="00E267AB">
        <w:rPr>
          <w:lang w:val="fr-FR"/>
        </w:rPr>
        <w:t>e</w:t>
      </w:r>
      <w:r w:rsidR="00F65DC2" w:rsidRPr="00E267AB">
        <w:rPr>
          <w:lang w:val="fr-FR"/>
        </w:rPr>
        <w:t>t n</w:t>
      </w:r>
      <w:r w:rsidR="007166C6" w:rsidRPr="00E267AB">
        <w:rPr>
          <w:lang w:val="fr-FR"/>
        </w:rPr>
        <w:t xml:space="preserve">e lui </w:t>
      </w:r>
      <w:r w:rsidR="00F65DC2" w:rsidRPr="00E267AB">
        <w:rPr>
          <w:lang w:val="fr-FR"/>
        </w:rPr>
        <w:t>ont</w:t>
      </w:r>
      <w:r w:rsidR="0011304A" w:rsidRPr="00E267AB">
        <w:rPr>
          <w:lang w:val="fr-FR"/>
        </w:rPr>
        <w:t xml:space="preserve"> </w:t>
      </w:r>
      <w:r w:rsidR="008A5B9D" w:rsidRPr="00E267AB">
        <w:rPr>
          <w:lang w:val="fr-FR"/>
        </w:rPr>
        <w:t>octroy</w:t>
      </w:r>
      <w:r w:rsidR="00F65DC2" w:rsidRPr="00E267AB">
        <w:rPr>
          <w:lang w:val="fr-FR"/>
        </w:rPr>
        <w:t>é</w:t>
      </w:r>
      <w:r w:rsidR="007166C6" w:rsidRPr="00E267AB">
        <w:rPr>
          <w:lang w:val="fr-FR"/>
        </w:rPr>
        <w:t xml:space="preserve"> </w:t>
      </w:r>
      <w:r w:rsidR="008A5B9D" w:rsidRPr="00E267AB">
        <w:rPr>
          <w:lang w:val="fr-FR"/>
        </w:rPr>
        <w:t xml:space="preserve">que </w:t>
      </w:r>
      <w:r w:rsidR="00F65DC2" w:rsidRPr="00E267AB">
        <w:rPr>
          <w:lang w:val="fr-FR"/>
        </w:rPr>
        <w:t>le bénéfice de</w:t>
      </w:r>
      <w:r w:rsidR="008A5B9D" w:rsidRPr="00E267AB">
        <w:rPr>
          <w:lang w:val="fr-FR"/>
        </w:rPr>
        <w:t xml:space="preserve"> </w:t>
      </w:r>
      <w:r w:rsidRPr="00E267AB">
        <w:rPr>
          <w:lang w:val="fr-FR"/>
        </w:rPr>
        <w:t>rencontres</w:t>
      </w:r>
      <w:r w:rsidR="008A5B9D" w:rsidRPr="00E267AB">
        <w:rPr>
          <w:lang w:val="fr-FR"/>
        </w:rPr>
        <w:t xml:space="preserve"> </w:t>
      </w:r>
      <w:r w:rsidR="00B41FA9" w:rsidRPr="00E267AB">
        <w:rPr>
          <w:lang w:val="fr-FR"/>
        </w:rPr>
        <w:t xml:space="preserve">en milieu protégé </w:t>
      </w:r>
      <w:r w:rsidR="0011304A" w:rsidRPr="00E267AB">
        <w:rPr>
          <w:lang w:val="fr-FR"/>
        </w:rPr>
        <w:t xml:space="preserve">qui ne se </w:t>
      </w:r>
      <w:r w:rsidR="00F65DC2" w:rsidRPr="00E267AB">
        <w:rPr>
          <w:lang w:val="fr-FR"/>
        </w:rPr>
        <w:t>seraient</w:t>
      </w:r>
      <w:r w:rsidR="0011304A" w:rsidRPr="00E267AB">
        <w:rPr>
          <w:lang w:val="fr-FR"/>
        </w:rPr>
        <w:t xml:space="preserve"> pas déroulées correctement.</w:t>
      </w:r>
    </w:p>
    <w:p w:rsidR="00E267AB" w:rsidRPr="00E267AB" w:rsidRDefault="00CB56E1"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98</w:t>
      </w:r>
      <w:r w:rsidRPr="00E267AB">
        <w:rPr>
          <w:lang w:val="fr-FR"/>
        </w:rPr>
        <w:fldChar w:fldCharType="end"/>
      </w:r>
      <w:r w:rsidRPr="00E267AB">
        <w:rPr>
          <w:lang w:val="fr-FR"/>
        </w:rPr>
        <w:t xml:space="preserve">.  En outre, </w:t>
      </w:r>
      <w:r w:rsidR="00F65DC2" w:rsidRPr="00E267AB">
        <w:rPr>
          <w:lang w:val="fr-FR"/>
        </w:rPr>
        <w:t xml:space="preserve">le requérant </w:t>
      </w:r>
      <w:r w:rsidR="000528F7" w:rsidRPr="00E267AB">
        <w:rPr>
          <w:lang w:val="fr-FR"/>
        </w:rPr>
        <w:t xml:space="preserve">se plaint que </w:t>
      </w:r>
      <w:r w:rsidRPr="00E267AB">
        <w:rPr>
          <w:lang w:val="fr-FR"/>
        </w:rPr>
        <w:t xml:space="preserve">les services sociaux </w:t>
      </w:r>
      <w:r w:rsidR="000528F7" w:rsidRPr="00E267AB">
        <w:rPr>
          <w:lang w:val="fr-FR"/>
        </w:rPr>
        <w:t>aient</w:t>
      </w:r>
      <w:r w:rsidR="001B6EB7" w:rsidRPr="00E267AB">
        <w:rPr>
          <w:lang w:val="fr-FR"/>
        </w:rPr>
        <w:t xml:space="preserve"> </w:t>
      </w:r>
      <w:r w:rsidRPr="00E267AB">
        <w:rPr>
          <w:lang w:val="fr-FR"/>
        </w:rPr>
        <w:t>permis</w:t>
      </w:r>
      <w:r w:rsidR="001B6EB7" w:rsidRPr="00E267AB">
        <w:rPr>
          <w:lang w:val="fr-FR"/>
        </w:rPr>
        <w:t xml:space="preserve"> à la mère d</w:t>
      </w:r>
      <w:r w:rsidR="00E267AB" w:rsidRPr="00E267AB">
        <w:rPr>
          <w:lang w:val="fr-FR"/>
        </w:rPr>
        <w:t>’</w:t>
      </w:r>
      <w:r w:rsidR="001B6EB7" w:rsidRPr="00E267AB">
        <w:rPr>
          <w:lang w:val="fr-FR"/>
        </w:rPr>
        <w:t xml:space="preserve">être </w:t>
      </w:r>
      <w:r w:rsidRPr="00E267AB">
        <w:rPr>
          <w:lang w:val="fr-FR"/>
        </w:rPr>
        <w:t>présente</w:t>
      </w:r>
      <w:r w:rsidR="001B6EB7" w:rsidRPr="00E267AB">
        <w:rPr>
          <w:lang w:val="fr-FR"/>
        </w:rPr>
        <w:t xml:space="preserve"> lors des rencontres et </w:t>
      </w:r>
      <w:r w:rsidR="000528F7" w:rsidRPr="00E267AB">
        <w:rPr>
          <w:lang w:val="fr-FR"/>
        </w:rPr>
        <w:t>aient</w:t>
      </w:r>
      <w:r w:rsidRPr="00E267AB">
        <w:rPr>
          <w:lang w:val="fr-FR"/>
        </w:rPr>
        <w:t xml:space="preserve"> réduit</w:t>
      </w:r>
      <w:r w:rsidR="001B6EB7" w:rsidRPr="00E267AB">
        <w:rPr>
          <w:lang w:val="fr-FR"/>
        </w:rPr>
        <w:t xml:space="preserve"> la fréquence de</w:t>
      </w:r>
      <w:r w:rsidR="000528F7" w:rsidRPr="00E267AB">
        <w:rPr>
          <w:lang w:val="fr-FR"/>
        </w:rPr>
        <w:t xml:space="preserve"> celles-ci</w:t>
      </w:r>
      <w:r w:rsidR="001B6EB7" w:rsidRPr="00E267AB">
        <w:rPr>
          <w:lang w:val="fr-FR"/>
        </w:rPr>
        <w:t xml:space="preserve"> à une par </w:t>
      </w:r>
      <w:r w:rsidRPr="00E267AB">
        <w:rPr>
          <w:lang w:val="fr-FR"/>
        </w:rPr>
        <w:t>semaine</w:t>
      </w:r>
      <w:r w:rsidR="001B6EB7" w:rsidRPr="00E267AB">
        <w:rPr>
          <w:lang w:val="fr-FR"/>
        </w:rPr>
        <w:t xml:space="preserve"> au lieu de </w:t>
      </w:r>
      <w:r w:rsidRPr="00E267AB">
        <w:rPr>
          <w:lang w:val="fr-FR"/>
        </w:rPr>
        <w:t xml:space="preserve">deux. </w:t>
      </w:r>
      <w:r w:rsidR="000528F7" w:rsidRPr="00E267AB">
        <w:rPr>
          <w:lang w:val="fr-FR"/>
        </w:rPr>
        <w:t>Il ajoute</w:t>
      </w:r>
      <w:r w:rsidR="001B6EB7" w:rsidRPr="00E267AB">
        <w:rPr>
          <w:lang w:val="fr-FR"/>
        </w:rPr>
        <w:t xml:space="preserve"> que </w:t>
      </w:r>
      <w:r w:rsidR="000528F7" w:rsidRPr="00E267AB">
        <w:rPr>
          <w:lang w:val="fr-FR"/>
        </w:rPr>
        <w:t>s</w:t>
      </w:r>
      <w:r w:rsidR="001B6EB7" w:rsidRPr="00E267AB">
        <w:rPr>
          <w:lang w:val="fr-FR"/>
        </w:rPr>
        <w:t xml:space="preserve">a fille </w:t>
      </w:r>
      <w:r w:rsidRPr="00E267AB">
        <w:rPr>
          <w:lang w:val="fr-FR"/>
        </w:rPr>
        <w:t>a refusé de lui adresser la parole</w:t>
      </w:r>
      <w:r w:rsidR="000528F7" w:rsidRPr="00E267AB">
        <w:rPr>
          <w:lang w:val="fr-FR"/>
        </w:rPr>
        <w:t xml:space="preserve"> au cours de toutes ces rencontres</w:t>
      </w:r>
      <w:r w:rsidRPr="00E267AB">
        <w:rPr>
          <w:lang w:val="fr-FR"/>
        </w:rPr>
        <w:t xml:space="preserve">. </w:t>
      </w:r>
      <w:r w:rsidR="000528F7" w:rsidRPr="00E267AB">
        <w:rPr>
          <w:lang w:val="fr-FR"/>
        </w:rPr>
        <w:t xml:space="preserve">Il </w:t>
      </w:r>
      <w:r w:rsidR="00DC6854" w:rsidRPr="00E267AB">
        <w:rPr>
          <w:lang w:val="fr-FR"/>
        </w:rPr>
        <w:t>indique</w:t>
      </w:r>
      <w:r w:rsidR="004F7904" w:rsidRPr="00E267AB">
        <w:rPr>
          <w:lang w:val="fr-FR"/>
        </w:rPr>
        <w:t xml:space="preserve"> que</w:t>
      </w:r>
      <w:r w:rsidR="000528F7" w:rsidRPr="00E267AB">
        <w:rPr>
          <w:lang w:val="fr-FR"/>
        </w:rPr>
        <w:t xml:space="preserve"> la cour </w:t>
      </w:r>
      <w:r w:rsidR="00DC6854" w:rsidRPr="00E267AB">
        <w:rPr>
          <w:lang w:val="fr-FR"/>
        </w:rPr>
        <w:t>d</w:t>
      </w:r>
      <w:r w:rsidR="00E267AB" w:rsidRPr="00E267AB">
        <w:rPr>
          <w:lang w:val="fr-FR"/>
        </w:rPr>
        <w:t>’</w:t>
      </w:r>
      <w:r w:rsidR="00DC6854" w:rsidRPr="00E267AB">
        <w:rPr>
          <w:lang w:val="fr-FR"/>
        </w:rPr>
        <w:t xml:space="preserve">appel </w:t>
      </w:r>
      <w:r w:rsidR="000528F7" w:rsidRPr="00E267AB">
        <w:rPr>
          <w:lang w:val="fr-FR"/>
        </w:rPr>
        <w:t>a</w:t>
      </w:r>
      <w:r w:rsidR="00DC6854" w:rsidRPr="00E267AB">
        <w:rPr>
          <w:lang w:val="fr-FR"/>
        </w:rPr>
        <w:t>v</w:t>
      </w:r>
      <w:r w:rsidR="000528F7" w:rsidRPr="00E267AB">
        <w:rPr>
          <w:lang w:val="fr-FR"/>
        </w:rPr>
        <w:t>ait ordonné aux services sociaux d</w:t>
      </w:r>
      <w:r w:rsidR="00E267AB" w:rsidRPr="00E267AB">
        <w:rPr>
          <w:lang w:val="fr-FR"/>
        </w:rPr>
        <w:t>’</w:t>
      </w:r>
      <w:r w:rsidR="000528F7" w:rsidRPr="00E267AB">
        <w:rPr>
          <w:lang w:val="fr-FR"/>
        </w:rPr>
        <w:t>éloigner l</w:t>
      </w:r>
      <w:r w:rsidR="00E267AB" w:rsidRPr="00E267AB">
        <w:rPr>
          <w:lang w:val="fr-FR"/>
        </w:rPr>
        <w:t>’</w:t>
      </w:r>
      <w:r w:rsidR="000528F7" w:rsidRPr="00E267AB">
        <w:rPr>
          <w:lang w:val="fr-FR"/>
        </w:rPr>
        <w:t>enfant d</w:t>
      </w:r>
      <w:r w:rsidR="00DC6854" w:rsidRPr="00E267AB">
        <w:rPr>
          <w:lang w:val="fr-FR"/>
        </w:rPr>
        <w:t xml:space="preserve">u domicile </w:t>
      </w:r>
      <w:r w:rsidR="000528F7" w:rsidRPr="00E267AB">
        <w:rPr>
          <w:lang w:val="fr-FR"/>
        </w:rPr>
        <w:t>de N.R</w:t>
      </w:r>
      <w:r w:rsidR="00FC4BD8" w:rsidRPr="00E267AB">
        <w:rPr>
          <w:lang w:val="fr-FR"/>
        </w:rPr>
        <w:t>.</w:t>
      </w:r>
      <w:r w:rsidR="000528F7" w:rsidRPr="00E267AB">
        <w:rPr>
          <w:lang w:val="fr-FR"/>
        </w:rPr>
        <w:t xml:space="preserve"> au cas où cette dernière n</w:t>
      </w:r>
      <w:r w:rsidR="00E267AB" w:rsidRPr="00E267AB">
        <w:rPr>
          <w:lang w:val="fr-FR"/>
        </w:rPr>
        <w:t>’</w:t>
      </w:r>
      <w:r w:rsidR="000528F7" w:rsidRPr="00E267AB">
        <w:rPr>
          <w:lang w:val="fr-FR"/>
        </w:rPr>
        <w:t>aurait pas respecté pas son droit de visite</w:t>
      </w:r>
      <w:r w:rsidR="00DC6854" w:rsidRPr="00E267AB">
        <w:rPr>
          <w:lang w:val="fr-FR"/>
        </w:rPr>
        <w:t xml:space="preserve"> et que, en dépit de cette décision, rien n</w:t>
      </w:r>
      <w:r w:rsidR="00E267AB" w:rsidRPr="00E267AB">
        <w:rPr>
          <w:lang w:val="fr-FR"/>
        </w:rPr>
        <w:t>’</w:t>
      </w:r>
      <w:r w:rsidR="00DC6854" w:rsidRPr="00E267AB">
        <w:rPr>
          <w:lang w:val="fr-FR"/>
        </w:rPr>
        <w:t>a été fait afin de protéger l</w:t>
      </w:r>
      <w:r w:rsidR="00E267AB" w:rsidRPr="00E267AB">
        <w:rPr>
          <w:lang w:val="fr-FR"/>
        </w:rPr>
        <w:t>’</w:t>
      </w:r>
      <w:r w:rsidR="00DC6854" w:rsidRPr="00E267AB">
        <w:rPr>
          <w:lang w:val="fr-FR"/>
        </w:rPr>
        <w:t>enfant</w:t>
      </w:r>
      <w:r w:rsidR="003D4934" w:rsidRPr="00E267AB">
        <w:rPr>
          <w:lang w:val="fr-FR"/>
        </w:rPr>
        <w:t>.</w:t>
      </w:r>
    </w:p>
    <w:p w:rsidR="00D13F45" w:rsidRPr="00E267AB" w:rsidRDefault="00CB56E1"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99</w:t>
      </w:r>
      <w:r w:rsidRPr="00E267AB">
        <w:rPr>
          <w:lang w:val="fr-FR"/>
        </w:rPr>
        <w:fldChar w:fldCharType="end"/>
      </w:r>
      <w:r w:rsidRPr="00E267AB">
        <w:rPr>
          <w:lang w:val="fr-FR"/>
        </w:rPr>
        <w:t>.  </w:t>
      </w:r>
      <w:r w:rsidR="00DC182E" w:rsidRPr="00E267AB">
        <w:rPr>
          <w:lang w:val="fr-FR"/>
        </w:rPr>
        <w:t xml:space="preserve">Le </w:t>
      </w:r>
      <w:r w:rsidRPr="00E267AB">
        <w:rPr>
          <w:lang w:val="fr-FR"/>
        </w:rPr>
        <w:t>requérant</w:t>
      </w:r>
      <w:r w:rsidR="00DC182E" w:rsidRPr="00E267AB">
        <w:rPr>
          <w:lang w:val="fr-FR"/>
        </w:rPr>
        <w:t xml:space="preserve"> </w:t>
      </w:r>
      <w:r w:rsidRPr="00E267AB">
        <w:rPr>
          <w:lang w:val="fr-FR"/>
        </w:rPr>
        <w:t xml:space="preserve">se plaint </w:t>
      </w:r>
      <w:r w:rsidR="00C80EEA" w:rsidRPr="00E267AB">
        <w:rPr>
          <w:lang w:val="fr-FR"/>
        </w:rPr>
        <w:t xml:space="preserve">également </w:t>
      </w:r>
      <w:r w:rsidRPr="00E267AB">
        <w:rPr>
          <w:lang w:val="fr-FR"/>
        </w:rPr>
        <w:t>d</w:t>
      </w:r>
      <w:r w:rsidR="00E267AB" w:rsidRPr="00E267AB">
        <w:rPr>
          <w:lang w:val="fr-FR"/>
        </w:rPr>
        <w:t>’</w:t>
      </w:r>
      <w:r w:rsidR="00C80EEA" w:rsidRPr="00E267AB">
        <w:rPr>
          <w:lang w:val="fr-FR"/>
        </w:rPr>
        <w:t xml:space="preserve">une </w:t>
      </w:r>
      <w:r w:rsidRPr="00E267AB">
        <w:rPr>
          <w:lang w:val="fr-FR"/>
        </w:rPr>
        <w:t>inexécution</w:t>
      </w:r>
      <w:r w:rsidR="00DC182E" w:rsidRPr="00E267AB">
        <w:rPr>
          <w:lang w:val="fr-FR"/>
        </w:rPr>
        <w:t xml:space="preserve"> des </w:t>
      </w:r>
      <w:r w:rsidRPr="00E267AB">
        <w:rPr>
          <w:lang w:val="fr-FR"/>
        </w:rPr>
        <w:t>décisions</w:t>
      </w:r>
      <w:r w:rsidR="00DC182E" w:rsidRPr="00E267AB">
        <w:rPr>
          <w:lang w:val="fr-FR"/>
        </w:rPr>
        <w:t xml:space="preserve"> </w:t>
      </w:r>
      <w:r w:rsidR="00435F12" w:rsidRPr="00E267AB">
        <w:rPr>
          <w:lang w:val="fr-FR"/>
        </w:rPr>
        <w:t>prises initialement par l</w:t>
      </w:r>
      <w:r w:rsidR="00DC182E" w:rsidRPr="00E267AB">
        <w:rPr>
          <w:lang w:val="fr-FR"/>
        </w:rPr>
        <w:t>es juridictions et de</w:t>
      </w:r>
      <w:r w:rsidR="00435F12" w:rsidRPr="00E267AB">
        <w:rPr>
          <w:lang w:val="fr-FR"/>
        </w:rPr>
        <w:t xml:space="preserve"> celles </w:t>
      </w:r>
      <w:r w:rsidR="00C80EEA" w:rsidRPr="00E267AB">
        <w:rPr>
          <w:lang w:val="fr-FR"/>
        </w:rPr>
        <w:t>pr</w:t>
      </w:r>
      <w:r w:rsidR="00435F12" w:rsidRPr="00E267AB">
        <w:rPr>
          <w:lang w:val="fr-FR"/>
        </w:rPr>
        <w:t>ononcées</w:t>
      </w:r>
      <w:r w:rsidR="00C80EEA" w:rsidRPr="00E267AB">
        <w:rPr>
          <w:lang w:val="fr-FR"/>
        </w:rPr>
        <w:t xml:space="preserve"> par la suite</w:t>
      </w:r>
      <w:r w:rsidR="00DC182E" w:rsidRPr="00E267AB">
        <w:rPr>
          <w:lang w:val="fr-FR"/>
        </w:rPr>
        <w:t xml:space="preserve">. Il </w:t>
      </w:r>
      <w:r w:rsidR="00C80EEA" w:rsidRPr="00E267AB">
        <w:rPr>
          <w:lang w:val="fr-FR"/>
        </w:rPr>
        <w:t>reproche aux juges d</w:t>
      </w:r>
      <w:r w:rsidR="00E267AB" w:rsidRPr="00E267AB">
        <w:rPr>
          <w:lang w:val="fr-FR"/>
        </w:rPr>
        <w:t>’</w:t>
      </w:r>
      <w:r w:rsidR="00C80EEA" w:rsidRPr="00E267AB">
        <w:rPr>
          <w:lang w:val="fr-FR"/>
        </w:rPr>
        <w:t>avoir laissé la résidence principale de l</w:t>
      </w:r>
      <w:r w:rsidR="00E267AB" w:rsidRPr="00E267AB">
        <w:rPr>
          <w:lang w:val="fr-FR"/>
        </w:rPr>
        <w:t>’</w:t>
      </w:r>
      <w:r w:rsidR="00C80EEA" w:rsidRPr="00E267AB">
        <w:rPr>
          <w:lang w:val="fr-FR"/>
        </w:rPr>
        <w:t>enfant chez la mère et d</w:t>
      </w:r>
      <w:r w:rsidR="00E267AB" w:rsidRPr="00E267AB">
        <w:rPr>
          <w:lang w:val="fr-FR"/>
        </w:rPr>
        <w:t>’</w:t>
      </w:r>
      <w:r w:rsidR="00C80EEA" w:rsidRPr="00E267AB">
        <w:rPr>
          <w:lang w:val="fr-FR"/>
        </w:rPr>
        <w:t>avoir permis à ce</w:t>
      </w:r>
      <w:r w:rsidR="00D13F45" w:rsidRPr="00E267AB">
        <w:rPr>
          <w:lang w:val="fr-FR"/>
        </w:rPr>
        <w:t>lle-ci</w:t>
      </w:r>
      <w:r w:rsidR="00C80EEA" w:rsidRPr="00E267AB">
        <w:rPr>
          <w:lang w:val="fr-FR"/>
        </w:rPr>
        <w:t xml:space="preserve"> de nuire au développement de l</w:t>
      </w:r>
      <w:r w:rsidR="00E267AB" w:rsidRPr="00E267AB">
        <w:rPr>
          <w:lang w:val="fr-FR"/>
        </w:rPr>
        <w:t>’</w:t>
      </w:r>
      <w:r w:rsidR="00C80EEA" w:rsidRPr="00E267AB">
        <w:rPr>
          <w:lang w:val="fr-FR"/>
        </w:rPr>
        <w:t>enfant, et ce en dépit des</w:t>
      </w:r>
      <w:r w:rsidR="00DC182E" w:rsidRPr="00E267AB">
        <w:rPr>
          <w:lang w:val="fr-FR"/>
        </w:rPr>
        <w:t xml:space="preserve"> avis de </w:t>
      </w:r>
      <w:r w:rsidRPr="00E267AB">
        <w:rPr>
          <w:lang w:val="fr-FR"/>
        </w:rPr>
        <w:t>plusieurs</w:t>
      </w:r>
      <w:r w:rsidR="00DC182E" w:rsidRPr="00E267AB">
        <w:rPr>
          <w:lang w:val="fr-FR"/>
        </w:rPr>
        <w:t xml:space="preserve"> experts, </w:t>
      </w:r>
      <w:r w:rsidR="00C80EEA" w:rsidRPr="00E267AB">
        <w:rPr>
          <w:lang w:val="fr-FR"/>
        </w:rPr>
        <w:t>d</w:t>
      </w:r>
      <w:r w:rsidR="00F93FFD" w:rsidRPr="00E267AB">
        <w:rPr>
          <w:lang w:val="fr-FR"/>
        </w:rPr>
        <w:t>u caractère fallacieux des</w:t>
      </w:r>
      <w:r w:rsidRPr="00E267AB">
        <w:rPr>
          <w:lang w:val="fr-FR"/>
        </w:rPr>
        <w:t xml:space="preserve"> accusations d</w:t>
      </w:r>
      <w:r w:rsidR="00E267AB" w:rsidRPr="00E267AB">
        <w:rPr>
          <w:lang w:val="fr-FR"/>
        </w:rPr>
        <w:t>’</w:t>
      </w:r>
      <w:r w:rsidRPr="00E267AB">
        <w:rPr>
          <w:lang w:val="fr-FR"/>
        </w:rPr>
        <w:t xml:space="preserve">abus sexuels portées </w:t>
      </w:r>
      <w:r w:rsidR="00F93FFD" w:rsidRPr="00E267AB">
        <w:rPr>
          <w:lang w:val="fr-FR"/>
        </w:rPr>
        <w:t xml:space="preserve">à son encontre </w:t>
      </w:r>
      <w:r w:rsidRPr="00E267AB">
        <w:rPr>
          <w:lang w:val="fr-FR"/>
        </w:rPr>
        <w:t>par N.R</w:t>
      </w:r>
      <w:r w:rsidR="00C80EEA" w:rsidRPr="00E267AB">
        <w:rPr>
          <w:lang w:val="fr-FR"/>
        </w:rPr>
        <w:t>.</w:t>
      </w:r>
      <w:r w:rsidRPr="00E267AB">
        <w:rPr>
          <w:lang w:val="fr-FR"/>
        </w:rPr>
        <w:t xml:space="preserve">, </w:t>
      </w:r>
      <w:r w:rsidR="00C80EEA" w:rsidRPr="00E267AB">
        <w:rPr>
          <w:lang w:val="fr-FR"/>
        </w:rPr>
        <w:t xml:space="preserve">de </w:t>
      </w:r>
      <w:r w:rsidRPr="00E267AB">
        <w:rPr>
          <w:lang w:val="fr-FR"/>
        </w:rPr>
        <w:t>la suspension d</w:t>
      </w:r>
      <w:r w:rsidR="009F5D6E" w:rsidRPr="00E267AB">
        <w:rPr>
          <w:lang w:val="fr-FR"/>
        </w:rPr>
        <w:t>e</w:t>
      </w:r>
      <w:r w:rsidRPr="00E267AB">
        <w:rPr>
          <w:lang w:val="fr-FR"/>
        </w:rPr>
        <w:t xml:space="preserve"> </w:t>
      </w:r>
      <w:r w:rsidR="00C80EEA" w:rsidRPr="00E267AB">
        <w:rPr>
          <w:lang w:val="fr-FR"/>
        </w:rPr>
        <w:t>l</w:t>
      </w:r>
      <w:r w:rsidR="00E267AB" w:rsidRPr="00E267AB">
        <w:rPr>
          <w:lang w:val="fr-FR"/>
        </w:rPr>
        <w:t>’</w:t>
      </w:r>
      <w:r w:rsidR="009F5D6E" w:rsidRPr="00E267AB">
        <w:rPr>
          <w:lang w:val="fr-FR"/>
        </w:rPr>
        <w:t>autorité parentale</w:t>
      </w:r>
      <w:r w:rsidR="00D13F45" w:rsidRPr="00E267AB">
        <w:rPr>
          <w:lang w:val="fr-FR"/>
        </w:rPr>
        <w:t xml:space="preserve"> de cette dernière et d</w:t>
      </w:r>
      <w:r w:rsidR="00551AFC" w:rsidRPr="00E267AB">
        <w:rPr>
          <w:lang w:val="fr-FR"/>
        </w:rPr>
        <w:t>e l</w:t>
      </w:r>
      <w:r w:rsidR="00E267AB" w:rsidRPr="00E267AB">
        <w:rPr>
          <w:lang w:val="fr-FR"/>
        </w:rPr>
        <w:t>’</w:t>
      </w:r>
      <w:r w:rsidR="00551AFC" w:rsidRPr="00E267AB">
        <w:rPr>
          <w:lang w:val="fr-FR"/>
        </w:rPr>
        <w:t>apparition d</w:t>
      </w:r>
      <w:r w:rsidR="00E267AB" w:rsidRPr="00E267AB">
        <w:rPr>
          <w:lang w:val="fr-FR"/>
        </w:rPr>
        <w:t>’</w:t>
      </w:r>
      <w:r w:rsidR="00551AFC" w:rsidRPr="00E267AB">
        <w:rPr>
          <w:lang w:val="fr-FR"/>
        </w:rPr>
        <w:t xml:space="preserve">un </w:t>
      </w:r>
      <w:r w:rsidR="0011304A" w:rsidRPr="00E267AB">
        <w:rPr>
          <w:lang w:val="fr-FR"/>
        </w:rPr>
        <w:t>syndrome d</w:t>
      </w:r>
      <w:r w:rsidR="00E267AB" w:rsidRPr="00E267AB">
        <w:rPr>
          <w:lang w:val="fr-FR"/>
        </w:rPr>
        <w:t>’</w:t>
      </w:r>
      <w:r w:rsidR="0011304A" w:rsidRPr="00E267AB">
        <w:rPr>
          <w:lang w:val="fr-FR"/>
        </w:rPr>
        <w:t>aliénation parental</w:t>
      </w:r>
      <w:r w:rsidR="001D1AE9" w:rsidRPr="00E267AB">
        <w:rPr>
          <w:lang w:val="fr-FR"/>
        </w:rPr>
        <w:t>e</w:t>
      </w:r>
      <w:r w:rsidR="00265EBB" w:rsidRPr="00E267AB">
        <w:rPr>
          <w:lang w:val="fr-FR"/>
        </w:rPr>
        <w:t xml:space="preserve"> </w:t>
      </w:r>
      <w:r w:rsidR="00551AFC" w:rsidRPr="00E267AB">
        <w:rPr>
          <w:lang w:val="fr-FR"/>
        </w:rPr>
        <w:t xml:space="preserve">qui aurait été </w:t>
      </w:r>
      <w:r w:rsidR="00265EBB" w:rsidRPr="00E267AB">
        <w:rPr>
          <w:lang w:val="fr-FR"/>
        </w:rPr>
        <w:t>observé c</w:t>
      </w:r>
      <w:r w:rsidR="0048020F" w:rsidRPr="00E267AB">
        <w:rPr>
          <w:lang w:val="fr-FR"/>
        </w:rPr>
        <w:t>hez</w:t>
      </w:r>
      <w:r w:rsidR="00551AFC" w:rsidRPr="00E267AB">
        <w:rPr>
          <w:lang w:val="fr-FR"/>
        </w:rPr>
        <w:t xml:space="preserve"> l</w:t>
      </w:r>
      <w:r w:rsidR="00E267AB" w:rsidRPr="00E267AB">
        <w:rPr>
          <w:lang w:val="fr-FR"/>
        </w:rPr>
        <w:t>’</w:t>
      </w:r>
      <w:r w:rsidR="00551AFC" w:rsidRPr="00E267AB">
        <w:rPr>
          <w:lang w:val="fr-FR"/>
        </w:rPr>
        <w:t>enfant</w:t>
      </w:r>
      <w:r w:rsidR="00D13F45" w:rsidRPr="00E267AB">
        <w:rPr>
          <w:lang w:val="fr-FR"/>
        </w:rPr>
        <w:t>.</w:t>
      </w:r>
    </w:p>
    <w:p w:rsidR="008A5B9D" w:rsidRPr="00E267AB" w:rsidRDefault="00CB56E1"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100</w:t>
      </w:r>
      <w:r w:rsidRPr="00E267AB">
        <w:rPr>
          <w:lang w:val="fr-FR"/>
        </w:rPr>
        <w:fldChar w:fldCharType="end"/>
      </w:r>
      <w:r w:rsidRPr="00E267AB">
        <w:rPr>
          <w:lang w:val="fr-FR"/>
        </w:rPr>
        <w:t>.  </w:t>
      </w:r>
      <w:r w:rsidR="009F5D6E" w:rsidRPr="00E267AB">
        <w:rPr>
          <w:lang w:val="fr-FR"/>
        </w:rPr>
        <w:t xml:space="preserve">Le requérant conclut que les décisions </w:t>
      </w:r>
      <w:r w:rsidR="00D13F45" w:rsidRPr="00E267AB">
        <w:rPr>
          <w:lang w:val="fr-FR"/>
        </w:rPr>
        <w:t>critiquées</w:t>
      </w:r>
      <w:r w:rsidR="009F5D6E" w:rsidRPr="00E267AB">
        <w:rPr>
          <w:lang w:val="fr-FR"/>
        </w:rPr>
        <w:t xml:space="preserve"> n</w:t>
      </w:r>
      <w:r w:rsidR="00E267AB" w:rsidRPr="00E267AB">
        <w:rPr>
          <w:lang w:val="fr-FR"/>
        </w:rPr>
        <w:t>’</w:t>
      </w:r>
      <w:r w:rsidR="009F5D6E" w:rsidRPr="00E267AB">
        <w:rPr>
          <w:lang w:val="fr-FR"/>
        </w:rPr>
        <w:t>ont pas été prises dans l</w:t>
      </w:r>
      <w:r w:rsidR="00E267AB" w:rsidRPr="00E267AB">
        <w:rPr>
          <w:lang w:val="fr-FR"/>
        </w:rPr>
        <w:t>’</w:t>
      </w:r>
      <w:r w:rsidR="009F5D6E" w:rsidRPr="00E267AB">
        <w:rPr>
          <w:lang w:val="fr-FR"/>
        </w:rPr>
        <w:t>intérêt de l</w:t>
      </w:r>
      <w:r w:rsidR="00E267AB" w:rsidRPr="00E267AB">
        <w:rPr>
          <w:lang w:val="fr-FR"/>
        </w:rPr>
        <w:t>’</w:t>
      </w:r>
      <w:r w:rsidR="009F5D6E" w:rsidRPr="00E267AB">
        <w:rPr>
          <w:lang w:val="fr-FR"/>
        </w:rPr>
        <w:t xml:space="preserve">enfant, car </w:t>
      </w:r>
      <w:r w:rsidR="00D13F45" w:rsidRPr="00E267AB">
        <w:rPr>
          <w:lang w:val="fr-FR"/>
        </w:rPr>
        <w:t xml:space="preserve">celle-ci se trouverait </w:t>
      </w:r>
      <w:r w:rsidR="0011304A" w:rsidRPr="00E267AB">
        <w:rPr>
          <w:lang w:val="fr-FR"/>
        </w:rPr>
        <w:t xml:space="preserve">désormais </w:t>
      </w:r>
      <w:r w:rsidR="009F5D6E" w:rsidRPr="00E267AB">
        <w:rPr>
          <w:lang w:val="fr-FR"/>
        </w:rPr>
        <w:t xml:space="preserve">dans une situation très </w:t>
      </w:r>
      <w:r w:rsidRPr="00E267AB">
        <w:rPr>
          <w:lang w:val="fr-FR"/>
        </w:rPr>
        <w:t>difficile</w:t>
      </w:r>
      <w:r w:rsidR="009F5D6E" w:rsidRPr="00E267AB">
        <w:rPr>
          <w:lang w:val="fr-FR"/>
        </w:rPr>
        <w:t xml:space="preserve"> et </w:t>
      </w:r>
      <w:r w:rsidR="00D13F45" w:rsidRPr="00E267AB">
        <w:rPr>
          <w:lang w:val="fr-FR"/>
        </w:rPr>
        <w:t xml:space="preserve">connaîtrait </w:t>
      </w:r>
      <w:r w:rsidR="009F5D6E" w:rsidRPr="00E267AB">
        <w:rPr>
          <w:lang w:val="fr-FR"/>
        </w:rPr>
        <w:t>un « </w:t>
      </w:r>
      <w:r w:rsidRPr="00E267AB">
        <w:rPr>
          <w:lang w:val="fr-FR"/>
        </w:rPr>
        <w:t>blocage</w:t>
      </w:r>
      <w:r w:rsidR="009F5D6E" w:rsidRPr="00E267AB">
        <w:rPr>
          <w:lang w:val="fr-FR"/>
        </w:rPr>
        <w:t xml:space="preserve"> </w:t>
      </w:r>
      <w:r w:rsidR="00D13F45" w:rsidRPr="00E267AB">
        <w:rPr>
          <w:lang w:val="fr-FR"/>
        </w:rPr>
        <w:t>dans son évolution</w:t>
      </w:r>
      <w:r w:rsidR="009F5D6E" w:rsidRPr="00E267AB">
        <w:rPr>
          <w:lang w:val="fr-FR"/>
        </w:rPr>
        <w:t> »</w:t>
      </w:r>
      <w:r w:rsidR="00F0754A" w:rsidRPr="00E267AB">
        <w:rPr>
          <w:lang w:val="fr-FR"/>
        </w:rPr>
        <w:t>,</w:t>
      </w:r>
      <w:r w:rsidR="009F5D6E" w:rsidRPr="00E267AB">
        <w:rPr>
          <w:lang w:val="fr-FR"/>
        </w:rPr>
        <w:t xml:space="preserve"> comme </w:t>
      </w:r>
      <w:r w:rsidR="00D13F45" w:rsidRPr="00E267AB">
        <w:rPr>
          <w:lang w:val="fr-FR"/>
        </w:rPr>
        <w:t xml:space="preserve">cela aurait été </w:t>
      </w:r>
      <w:r w:rsidR="009F5D6E" w:rsidRPr="00E267AB">
        <w:rPr>
          <w:lang w:val="fr-FR"/>
        </w:rPr>
        <w:t>souligné par l</w:t>
      </w:r>
      <w:r w:rsidR="00E267AB" w:rsidRPr="00E267AB">
        <w:rPr>
          <w:lang w:val="fr-FR"/>
        </w:rPr>
        <w:t>’</w:t>
      </w:r>
      <w:r w:rsidR="009F5D6E" w:rsidRPr="00E267AB">
        <w:rPr>
          <w:lang w:val="fr-FR"/>
        </w:rPr>
        <w:t xml:space="preserve">expert </w:t>
      </w:r>
      <w:r w:rsidRPr="00E267AB">
        <w:rPr>
          <w:lang w:val="fr-FR"/>
        </w:rPr>
        <w:t>désigné</w:t>
      </w:r>
      <w:r w:rsidR="009F5D6E" w:rsidRPr="00E267AB">
        <w:rPr>
          <w:lang w:val="fr-FR"/>
        </w:rPr>
        <w:t xml:space="preserve"> par le </w:t>
      </w:r>
      <w:r w:rsidRPr="00E267AB">
        <w:rPr>
          <w:lang w:val="fr-FR"/>
        </w:rPr>
        <w:t>tribunal</w:t>
      </w:r>
      <w:r w:rsidR="003D4934" w:rsidRPr="00E267AB">
        <w:rPr>
          <w:lang w:val="fr-FR"/>
        </w:rPr>
        <w:t>.</w:t>
      </w:r>
    </w:p>
    <w:p w:rsidR="008A5B9D" w:rsidRPr="00E267AB" w:rsidRDefault="009F5D6E"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101</w:t>
      </w:r>
      <w:r w:rsidRPr="00E267AB">
        <w:rPr>
          <w:lang w:val="fr-FR"/>
        </w:rPr>
        <w:fldChar w:fldCharType="end"/>
      </w:r>
      <w:r w:rsidR="00CB56E1" w:rsidRPr="00E267AB">
        <w:rPr>
          <w:lang w:val="fr-FR"/>
        </w:rPr>
        <w:t>.  L</w:t>
      </w:r>
      <w:r w:rsidRPr="00E267AB">
        <w:rPr>
          <w:lang w:val="fr-FR"/>
        </w:rPr>
        <w:t xml:space="preserve">e Gouvernement conteste la thèse du requérant. Il affirme que les autorités ont pris toutes les mesures </w:t>
      </w:r>
      <w:r w:rsidR="00CB56E1" w:rsidRPr="00E267AB">
        <w:rPr>
          <w:lang w:val="fr-FR"/>
        </w:rPr>
        <w:t>nécessaires</w:t>
      </w:r>
      <w:r w:rsidRPr="00E267AB">
        <w:rPr>
          <w:lang w:val="fr-FR"/>
        </w:rPr>
        <w:t xml:space="preserve"> pour </w:t>
      </w:r>
      <w:r w:rsidR="00CB56E1" w:rsidRPr="00E267AB">
        <w:rPr>
          <w:lang w:val="fr-FR"/>
        </w:rPr>
        <w:t>pr</w:t>
      </w:r>
      <w:r w:rsidR="00D13F45" w:rsidRPr="00E267AB">
        <w:rPr>
          <w:lang w:val="fr-FR"/>
        </w:rPr>
        <w:t>éserver</w:t>
      </w:r>
      <w:r w:rsidRPr="00E267AB">
        <w:rPr>
          <w:lang w:val="fr-FR"/>
        </w:rPr>
        <w:t xml:space="preserve"> la rela</w:t>
      </w:r>
      <w:r w:rsidR="00FE6969" w:rsidRPr="00E267AB">
        <w:rPr>
          <w:lang w:val="fr-FR"/>
        </w:rPr>
        <w:t>tion entre le requérant et l</w:t>
      </w:r>
      <w:r w:rsidR="00E267AB" w:rsidRPr="00E267AB">
        <w:rPr>
          <w:lang w:val="fr-FR"/>
        </w:rPr>
        <w:t>’</w:t>
      </w:r>
      <w:r w:rsidR="00FE6969" w:rsidRPr="00E267AB">
        <w:rPr>
          <w:lang w:val="fr-FR"/>
        </w:rPr>
        <w:t>enfant</w:t>
      </w:r>
      <w:r w:rsidR="00D13F45" w:rsidRPr="00E267AB">
        <w:rPr>
          <w:lang w:val="fr-FR"/>
        </w:rPr>
        <w:t xml:space="preserve"> et qu</w:t>
      </w:r>
      <w:r w:rsidR="00E267AB" w:rsidRPr="00E267AB">
        <w:rPr>
          <w:lang w:val="fr-FR"/>
        </w:rPr>
        <w:t>’</w:t>
      </w:r>
      <w:r w:rsidR="00D13F45" w:rsidRPr="00E267AB">
        <w:rPr>
          <w:lang w:val="fr-FR"/>
        </w:rPr>
        <w:t xml:space="preserve">elles ont tenu </w:t>
      </w:r>
      <w:r w:rsidR="00FE6969" w:rsidRPr="00E267AB">
        <w:rPr>
          <w:lang w:val="fr-FR"/>
        </w:rPr>
        <w:t>compte</w:t>
      </w:r>
      <w:r w:rsidR="00D13F45" w:rsidRPr="00E267AB">
        <w:rPr>
          <w:lang w:val="fr-FR"/>
        </w:rPr>
        <w:t xml:space="preserve"> à cet effet</w:t>
      </w:r>
      <w:r w:rsidR="00FE6969" w:rsidRPr="00E267AB">
        <w:rPr>
          <w:lang w:val="fr-FR"/>
        </w:rPr>
        <w:t xml:space="preserve"> de la situation d</w:t>
      </w:r>
      <w:r w:rsidR="00CB56E1" w:rsidRPr="00E267AB">
        <w:rPr>
          <w:lang w:val="fr-FR"/>
        </w:rPr>
        <w:t>e</w:t>
      </w:r>
      <w:r w:rsidR="00FE6969" w:rsidRPr="00E267AB">
        <w:rPr>
          <w:lang w:val="fr-FR"/>
        </w:rPr>
        <w:t xml:space="preserve"> </w:t>
      </w:r>
      <w:r w:rsidR="00CB56E1" w:rsidRPr="00E267AB">
        <w:rPr>
          <w:lang w:val="fr-FR"/>
        </w:rPr>
        <w:t>tension</w:t>
      </w:r>
      <w:r w:rsidR="00FE6969" w:rsidRPr="00E267AB">
        <w:rPr>
          <w:lang w:val="fr-FR"/>
        </w:rPr>
        <w:t xml:space="preserve"> </w:t>
      </w:r>
      <w:r w:rsidR="00F0754A" w:rsidRPr="00E267AB">
        <w:rPr>
          <w:lang w:val="fr-FR"/>
        </w:rPr>
        <w:t xml:space="preserve">existant </w:t>
      </w:r>
      <w:r w:rsidR="00FE6969" w:rsidRPr="00E267AB">
        <w:rPr>
          <w:lang w:val="fr-FR"/>
        </w:rPr>
        <w:t>entre les parents.</w:t>
      </w:r>
      <w:r w:rsidR="001E6854" w:rsidRPr="00E267AB">
        <w:rPr>
          <w:lang w:val="fr-FR"/>
        </w:rPr>
        <w:t xml:space="preserve"> </w:t>
      </w:r>
      <w:r w:rsidR="00CB56E1" w:rsidRPr="00E267AB">
        <w:rPr>
          <w:lang w:val="fr-FR"/>
        </w:rPr>
        <w:t>Les juridictions se</w:t>
      </w:r>
      <w:r w:rsidR="001E6854" w:rsidRPr="00E267AB">
        <w:rPr>
          <w:lang w:val="fr-FR"/>
        </w:rPr>
        <w:t xml:space="preserve"> </w:t>
      </w:r>
      <w:r w:rsidR="00D13F45" w:rsidRPr="00E267AB">
        <w:rPr>
          <w:lang w:val="fr-FR"/>
        </w:rPr>
        <w:t xml:space="preserve">seraient ainsi </w:t>
      </w:r>
      <w:r w:rsidR="00CB56E1" w:rsidRPr="00E267AB">
        <w:rPr>
          <w:lang w:val="fr-FR"/>
        </w:rPr>
        <w:t>conduites avec diligence.</w:t>
      </w:r>
    </w:p>
    <w:p w:rsidR="00FE6969" w:rsidRPr="00E267AB" w:rsidRDefault="00CB56E1"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102</w:t>
      </w:r>
      <w:r w:rsidRPr="00E267AB">
        <w:rPr>
          <w:lang w:val="fr-FR"/>
        </w:rPr>
        <w:fldChar w:fldCharType="end"/>
      </w:r>
      <w:r w:rsidRPr="00E267AB">
        <w:rPr>
          <w:lang w:val="fr-FR"/>
        </w:rPr>
        <w:t>.  </w:t>
      </w:r>
      <w:r w:rsidR="00D84F5A" w:rsidRPr="00E267AB">
        <w:rPr>
          <w:lang w:val="fr-FR"/>
        </w:rPr>
        <w:t xml:space="preserve">Se référant aux arrêts </w:t>
      </w:r>
      <w:r w:rsidR="00D84F5A" w:rsidRPr="00E267AB">
        <w:rPr>
          <w:i/>
          <w:lang w:val="fr-FR"/>
        </w:rPr>
        <w:t>Nuutinen c. Finlande</w:t>
      </w:r>
      <w:r w:rsidR="00D84F5A" w:rsidRPr="00E267AB">
        <w:rPr>
          <w:lang w:val="fr-FR"/>
        </w:rPr>
        <w:t xml:space="preserve"> (n</w:t>
      </w:r>
      <w:r w:rsidR="00D84F5A" w:rsidRPr="00E267AB">
        <w:rPr>
          <w:vertAlign w:val="superscript"/>
          <w:lang w:val="fr-FR"/>
        </w:rPr>
        <w:t>o</w:t>
      </w:r>
      <w:r w:rsidR="00D84F5A" w:rsidRPr="00E267AB">
        <w:rPr>
          <w:lang w:val="fr-FR"/>
        </w:rPr>
        <w:t xml:space="preserve"> 32842/96, CEDH 2000</w:t>
      </w:r>
      <w:r w:rsidR="00D84F5A" w:rsidRPr="00E267AB">
        <w:rPr>
          <w:lang w:val="fr-FR"/>
        </w:rPr>
        <w:noBreakHyphen/>
        <w:t>VIII) et</w:t>
      </w:r>
      <w:r w:rsidR="00D84F5A" w:rsidRPr="00E267AB">
        <w:rPr>
          <w:i/>
          <w:lang w:val="fr-FR"/>
        </w:rPr>
        <w:t xml:space="preserve"> Glass c. Royaume-Uni</w:t>
      </w:r>
      <w:r w:rsidR="00D84F5A" w:rsidRPr="00E267AB">
        <w:rPr>
          <w:lang w:val="fr-FR"/>
        </w:rPr>
        <w:t xml:space="preserve"> (n</w:t>
      </w:r>
      <w:r w:rsidR="00D84F5A" w:rsidRPr="00E267AB">
        <w:rPr>
          <w:vertAlign w:val="superscript"/>
          <w:lang w:val="fr-FR"/>
        </w:rPr>
        <w:t>o</w:t>
      </w:r>
      <w:r w:rsidR="00D84F5A" w:rsidRPr="00E267AB">
        <w:rPr>
          <w:lang w:val="fr-FR"/>
        </w:rPr>
        <w:t xml:space="preserve"> 61827/00, CEDH 2004</w:t>
      </w:r>
      <w:r w:rsidR="00D84F5A" w:rsidRPr="00E267AB">
        <w:rPr>
          <w:lang w:val="fr-FR"/>
        </w:rPr>
        <w:noBreakHyphen/>
        <w:t>II), le</w:t>
      </w:r>
      <w:r w:rsidR="0011304A" w:rsidRPr="00E267AB">
        <w:rPr>
          <w:lang w:val="fr-FR"/>
        </w:rPr>
        <w:t xml:space="preserve"> Gouvernement </w:t>
      </w:r>
      <w:r w:rsidR="00D84F5A" w:rsidRPr="00E267AB">
        <w:rPr>
          <w:lang w:val="fr-FR"/>
        </w:rPr>
        <w:t>indique</w:t>
      </w:r>
      <w:r w:rsidRPr="00E267AB">
        <w:rPr>
          <w:lang w:val="fr-FR"/>
        </w:rPr>
        <w:t xml:space="preserve"> que l</w:t>
      </w:r>
      <w:r w:rsidR="00E267AB" w:rsidRPr="00E267AB">
        <w:rPr>
          <w:lang w:val="fr-FR"/>
        </w:rPr>
        <w:t>’</w:t>
      </w:r>
      <w:r w:rsidRPr="00E267AB">
        <w:rPr>
          <w:lang w:val="fr-FR"/>
        </w:rPr>
        <w:t xml:space="preserve">article 8 de la Convention ne saurait autoriser </w:t>
      </w:r>
      <w:r w:rsidR="00D84F5A" w:rsidRPr="00E267AB">
        <w:rPr>
          <w:lang w:val="fr-FR"/>
        </w:rPr>
        <w:t xml:space="preserve">un </w:t>
      </w:r>
      <w:r w:rsidRPr="00E267AB">
        <w:rPr>
          <w:lang w:val="fr-FR"/>
        </w:rPr>
        <w:t>parent à faire prendre des mesures préjudiciables à la santé et au développement de l</w:t>
      </w:r>
      <w:r w:rsidR="00E267AB" w:rsidRPr="00E267AB">
        <w:rPr>
          <w:lang w:val="fr-FR"/>
        </w:rPr>
        <w:t>’</w:t>
      </w:r>
      <w:r w:rsidRPr="00E267AB">
        <w:rPr>
          <w:lang w:val="fr-FR"/>
        </w:rPr>
        <w:t xml:space="preserve">enfant. </w:t>
      </w:r>
      <w:r w:rsidR="00D84F5A" w:rsidRPr="00E267AB">
        <w:rPr>
          <w:lang w:val="fr-FR"/>
        </w:rPr>
        <w:t>À</w:t>
      </w:r>
      <w:r w:rsidRPr="00E267AB">
        <w:rPr>
          <w:lang w:val="fr-FR"/>
        </w:rPr>
        <w:t xml:space="preserve"> cet égard, </w:t>
      </w:r>
      <w:r w:rsidR="0011304A" w:rsidRPr="00E267AB">
        <w:rPr>
          <w:lang w:val="fr-FR"/>
        </w:rPr>
        <w:t>il</w:t>
      </w:r>
      <w:r w:rsidR="00FE6969" w:rsidRPr="00E267AB">
        <w:rPr>
          <w:lang w:val="fr-FR"/>
        </w:rPr>
        <w:t xml:space="preserve"> </w:t>
      </w:r>
      <w:r w:rsidR="0011304A" w:rsidRPr="00E267AB">
        <w:rPr>
          <w:lang w:val="fr-FR"/>
        </w:rPr>
        <w:t>est d</w:t>
      </w:r>
      <w:r w:rsidR="00E267AB" w:rsidRPr="00E267AB">
        <w:rPr>
          <w:lang w:val="fr-FR"/>
        </w:rPr>
        <w:t>’</w:t>
      </w:r>
      <w:r w:rsidR="0011304A" w:rsidRPr="00E267AB">
        <w:rPr>
          <w:lang w:val="fr-FR"/>
        </w:rPr>
        <w:t>avis</w:t>
      </w:r>
      <w:r w:rsidR="0076710F" w:rsidRPr="00E267AB">
        <w:rPr>
          <w:lang w:val="fr-FR"/>
        </w:rPr>
        <w:t xml:space="preserve"> </w:t>
      </w:r>
      <w:r w:rsidR="00FE6969" w:rsidRPr="00E267AB">
        <w:rPr>
          <w:lang w:val="fr-FR"/>
        </w:rPr>
        <w:t xml:space="preserve">que </w:t>
      </w:r>
      <w:r w:rsidRPr="00E267AB">
        <w:rPr>
          <w:lang w:val="fr-FR"/>
        </w:rPr>
        <w:t>rien</w:t>
      </w:r>
      <w:r w:rsidR="00FE6969" w:rsidRPr="00E267AB">
        <w:rPr>
          <w:lang w:val="fr-FR"/>
        </w:rPr>
        <w:t xml:space="preserve"> ne peut être reproché aux autorités</w:t>
      </w:r>
      <w:r w:rsidR="00D56747" w:rsidRPr="00E267AB">
        <w:rPr>
          <w:lang w:val="fr-FR"/>
        </w:rPr>
        <w:t xml:space="preserve"> : </w:t>
      </w:r>
      <w:r w:rsidR="00D84F5A" w:rsidRPr="00E267AB">
        <w:rPr>
          <w:lang w:val="fr-FR"/>
        </w:rPr>
        <w:t>celles-ci</w:t>
      </w:r>
      <w:r w:rsidR="00FE6969" w:rsidRPr="00E267AB">
        <w:rPr>
          <w:lang w:val="fr-FR"/>
        </w:rPr>
        <w:t xml:space="preserve"> </w:t>
      </w:r>
      <w:r w:rsidR="00D56747" w:rsidRPr="00E267AB">
        <w:rPr>
          <w:lang w:val="fr-FR"/>
        </w:rPr>
        <w:t>auraient</w:t>
      </w:r>
      <w:r w:rsidR="00FE6969" w:rsidRPr="00E267AB">
        <w:rPr>
          <w:lang w:val="fr-FR"/>
        </w:rPr>
        <w:t xml:space="preserve"> agi d</w:t>
      </w:r>
      <w:r w:rsidRPr="00E267AB">
        <w:rPr>
          <w:lang w:val="fr-FR"/>
        </w:rPr>
        <w:t>ans l</w:t>
      </w:r>
      <w:r w:rsidR="00E267AB" w:rsidRPr="00E267AB">
        <w:rPr>
          <w:lang w:val="fr-FR"/>
        </w:rPr>
        <w:t>’</w:t>
      </w:r>
      <w:r w:rsidRPr="00E267AB">
        <w:rPr>
          <w:lang w:val="fr-FR"/>
        </w:rPr>
        <w:t>intérêt de l</w:t>
      </w:r>
      <w:r w:rsidR="00E267AB" w:rsidRPr="00E267AB">
        <w:rPr>
          <w:lang w:val="fr-FR"/>
        </w:rPr>
        <w:t>’</w:t>
      </w:r>
      <w:r w:rsidRPr="00E267AB">
        <w:rPr>
          <w:lang w:val="fr-FR"/>
        </w:rPr>
        <w:t>enfant</w:t>
      </w:r>
      <w:r w:rsidR="00D56747" w:rsidRPr="00E267AB">
        <w:rPr>
          <w:lang w:val="fr-FR"/>
        </w:rPr>
        <w:t xml:space="preserve">. </w:t>
      </w:r>
      <w:r w:rsidR="00F0754A" w:rsidRPr="00E267AB">
        <w:rPr>
          <w:lang w:val="fr-FR"/>
        </w:rPr>
        <w:t>Le Gouvernement</w:t>
      </w:r>
      <w:r w:rsidR="00D56747" w:rsidRPr="00E267AB">
        <w:rPr>
          <w:lang w:val="fr-FR"/>
        </w:rPr>
        <w:t xml:space="preserve"> précise</w:t>
      </w:r>
      <w:r w:rsidR="00D84F5A" w:rsidRPr="00E267AB">
        <w:rPr>
          <w:lang w:val="fr-FR"/>
        </w:rPr>
        <w:t xml:space="preserve"> que cette dernière</w:t>
      </w:r>
      <w:r w:rsidRPr="00E267AB">
        <w:rPr>
          <w:lang w:val="fr-FR"/>
        </w:rPr>
        <w:t xml:space="preserve"> s</w:t>
      </w:r>
      <w:r w:rsidR="00FE6969" w:rsidRPr="00E267AB">
        <w:rPr>
          <w:lang w:val="fr-FR"/>
        </w:rPr>
        <w:t>e</w:t>
      </w:r>
      <w:r w:rsidRPr="00E267AB">
        <w:rPr>
          <w:lang w:val="fr-FR"/>
        </w:rPr>
        <w:t xml:space="preserve"> </w:t>
      </w:r>
      <w:r w:rsidR="00FE6969" w:rsidRPr="00E267AB">
        <w:rPr>
          <w:lang w:val="fr-FR"/>
        </w:rPr>
        <w:t xml:space="preserve">trouvait </w:t>
      </w:r>
      <w:r w:rsidRPr="00E267AB">
        <w:rPr>
          <w:lang w:val="fr-FR"/>
        </w:rPr>
        <w:t>déjà</w:t>
      </w:r>
      <w:r w:rsidR="00FE6969" w:rsidRPr="00E267AB">
        <w:rPr>
          <w:lang w:val="fr-FR"/>
        </w:rPr>
        <w:t xml:space="preserve"> en 2008 dans une situation difficile en raison </w:t>
      </w:r>
      <w:r w:rsidR="0011304A" w:rsidRPr="00E267AB">
        <w:rPr>
          <w:lang w:val="fr-FR"/>
        </w:rPr>
        <w:t>de</w:t>
      </w:r>
      <w:r w:rsidR="00D84F5A" w:rsidRPr="00E267AB">
        <w:rPr>
          <w:lang w:val="fr-FR"/>
        </w:rPr>
        <w:t>s</w:t>
      </w:r>
      <w:r w:rsidR="0011304A" w:rsidRPr="00E267AB">
        <w:rPr>
          <w:lang w:val="fr-FR"/>
        </w:rPr>
        <w:t xml:space="preserve"> tension</w:t>
      </w:r>
      <w:r w:rsidR="00D84F5A" w:rsidRPr="00E267AB">
        <w:rPr>
          <w:lang w:val="fr-FR"/>
        </w:rPr>
        <w:t>s existant</w:t>
      </w:r>
      <w:r w:rsidR="0011304A" w:rsidRPr="00E267AB">
        <w:rPr>
          <w:lang w:val="fr-FR"/>
        </w:rPr>
        <w:t xml:space="preserve"> entre les parents et </w:t>
      </w:r>
      <w:r w:rsidR="00FE6969" w:rsidRPr="00E267AB">
        <w:rPr>
          <w:lang w:val="fr-FR"/>
        </w:rPr>
        <w:t xml:space="preserve">de la plainte pour abus sexuels </w:t>
      </w:r>
      <w:r w:rsidRPr="00E267AB">
        <w:rPr>
          <w:lang w:val="fr-FR"/>
        </w:rPr>
        <w:t>déposée</w:t>
      </w:r>
      <w:r w:rsidR="00FE6969" w:rsidRPr="00E267AB">
        <w:rPr>
          <w:lang w:val="fr-FR"/>
        </w:rPr>
        <w:t xml:space="preserve"> par N.R</w:t>
      </w:r>
      <w:r w:rsidR="0011304A" w:rsidRPr="00E267AB">
        <w:rPr>
          <w:lang w:val="fr-FR"/>
        </w:rPr>
        <w:t>.</w:t>
      </w:r>
    </w:p>
    <w:p w:rsidR="00FE6969" w:rsidRPr="00E267AB" w:rsidRDefault="00CB56E1"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103</w:t>
      </w:r>
      <w:r w:rsidRPr="00E267AB">
        <w:rPr>
          <w:lang w:val="fr-FR"/>
        </w:rPr>
        <w:fldChar w:fldCharType="end"/>
      </w:r>
      <w:r w:rsidRPr="00E267AB">
        <w:rPr>
          <w:lang w:val="fr-FR"/>
        </w:rPr>
        <w:t>.  </w:t>
      </w:r>
      <w:r w:rsidR="00FE6969" w:rsidRPr="00E267AB">
        <w:rPr>
          <w:lang w:val="fr-FR"/>
        </w:rPr>
        <w:t>Selon le Gouvernement</w:t>
      </w:r>
      <w:r w:rsidR="0011304A" w:rsidRPr="00E267AB">
        <w:rPr>
          <w:lang w:val="fr-FR"/>
        </w:rPr>
        <w:t>,</w:t>
      </w:r>
      <w:r w:rsidR="00FE6969" w:rsidRPr="00E267AB">
        <w:rPr>
          <w:lang w:val="fr-FR"/>
        </w:rPr>
        <w:t xml:space="preserve"> </w:t>
      </w:r>
      <w:r w:rsidR="00C707C6" w:rsidRPr="00E267AB">
        <w:rPr>
          <w:lang w:val="fr-FR"/>
        </w:rPr>
        <w:t>eu égard en particulier</w:t>
      </w:r>
      <w:r w:rsidR="00F0754A" w:rsidRPr="00E267AB">
        <w:rPr>
          <w:lang w:val="fr-FR"/>
        </w:rPr>
        <w:t xml:space="preserve"> à l</w:t>
      </w:r>
      <w:r w:rsidR="00E267AB" w:rsidRPr="00E267AB">
        <w:rPr>
          <w:lang w:val="fr-FR"/>
        </w:rPr>
        <w:t>’</w:t>
      </w:r>
      <w:r w:rsidR="00F0754A" w:rsidRPr="00E267AB">
        <w:rPr>
          <w:lang w:val="fr-FR"/>
        </w:rPr>
        <w:t xml:space="preserve">état psychologique </w:t>
      </w:r>
      <w:r w:rsidR="00C707C6" w:rsidRPr="00E267AB">
        <w:rPr>
          <w:lang w:val="fr-FR"/>
        </w:rPr>
        <w:t>de l</w:t>
      </w:r>
      <w:r w:rsidR="00E267AB" w:rsidRPr="00E267AB">
        <w:rPr>
          <w:lang w:val="fr-FR"/>
        </w:rPr>
        <w:t>’</w:t>
      </w:r>
      <w:r w:rsidR="00C707C6" w:rsidRPr="00E267AB">
        <w:rPr>
          <w:lang w:val="fr-FR"/>
        </w:rPr>
        <w:t xml:space="preserve">enfant </w:t>
      </w:r>
      <w:r w:rsidR="00F0754A" w:rsidRPr="00E267AB">
        <w:rPr>
          <w:lang w:val="fr-FR"/>
        </w:rPr>
        <w:t>et à l</w:t>
      </w:r>
      <w:r w:rsidR="00E267AB" w:rsidRPr="00E267AB">
        <w:rPr>
          <w:lang w:val="fr-FR"/>
        </w:rPr>
        <w:t>’</w:t>
      </w:r>
      <w:r w:rsidR="00F0754A" w:rsidRPr="00E267AB">
        <w:rPr>
          <w:lang w:val="fr-FR"/>
        </w:rPr>
        <w:t xml:space="preserve">opposition de cette dernière </w:t>
      </w:r>
      <w:r w:rsidR="00C707C6" w:rsidRPr="00E267AB">
        <w:rPr>
          <w:lang w:val="fr-FR"/>
        </w:rPr>
        <w:t xml:space="preserve">à toute rencontre avec son père, </w:t>
      </w:r>
      <w:r w:rsidR="00FE6969" w:rsidRPr="00E267AB">
        <w:rPr>
          <w:lang w:val="fr-FR"/>
        </w:rPr>
        <w:t xml:space="preserve">on </w:t>
      </w:r>
      <w:r w:rsidRPr="00E267AB">
        <w:rPr>
          <w:lang w:val="fr-FR"/>
        </w:rPr>
        <w:t>ne</w:t>
      </w:r>
      <w:r w:rsidR="00FE6969" w:rsidRPr="00E267AB">
        <w:rPr>
          <w:lang w:val="fr-FR"/>
        </w:rPr>
        <w:t xml:space="preserve"> </w:t>
      </w:r>
      <w:r w:rsidRPr="00E267AB">
        <w:rPr>
          <w:lang w:val="fr-FR"/>
        </w:rPr>
        <w:t xml:space="preserve">saurait </w:t>
      </w:r>
      <w:r w:rsidR="00FE6969" w:rsidRPr="00E267AB">
        <w:rPr>
          <w:lang w:val="fr-FR"/>
        </w:rPr>
        <w:t>reproch</w:t>
      </w:r>
      <w:r w:rsidR="00C707C6" w:rsidRPr="00E267AB">
        <w:rPr>
          <w:lang w:val="fr-FR"/>
        </w:rPr>
        <w:t>er</w:t>
      </w:r>
      <w:r w:rsidR="00FE6969" w:rsidRPr="00E267AB">
        <w:rPr>
          <w:lang w:val="fr-FR"/>
        </w:rPr>
        <w:t xml:space="preserve"> </w:t>
      </w:r>
      <w:r w:rsidRPr="00E267AB">
        <w:rPr>
          <w:lang w:val="fr-FR"/>
        </w:rPr>
        <w:t>à l</w:t>
      </w:r>
      <w:r w:rsidR="00E267AB" w:rsidRPr="00E267AB">
        <w:rPr>
          <w:lang w:val="fr-FR"/>
        </w:rPr>
        <w:t>’</w:t>
      </w:r>
      <w:r w:rsidR="00C707C6" w:rsidRPr="00E267AB">
        <w:rPr>
          <w:lang w:val="fr-FR"/>
        </w:rPr>
        <w:t>État</w:t>
      </w:r>
      <w:r w:rsidR="00FE6969" w:rsidRPr="00E267AB">
        <w:rPr>
          <w:lang w:val="fr-FR"/>
        </w:rPr>
        <w:t xml:space="preserve"> d</w:t>
      </w:r>
      <w:r w:rsidR="00E267AB" w:rsidRPr="00E267AB">
        <w:rPr>
          <w:lang w:val="fr-FR"/>
        </w:rPr>
        <w:t>’</w:t>
      </w:r>
      <w:r w:rsidR="00FE6969" w:rsidRPr="00E267AB">
        <w:rPr>
          <w:lang w:val="fr-FR"/>
        </w:rPr>
        <w:t xml:space="preserve">avoir </w:t>
      </w:r>
      <w:r w:rsidR="00C81A8D" w:rsidRPr="00E267AB">
        <w:rPr>
          <w:lang w:val="fr-FR"/>
        </w:rPr>
        <w:t>maintenu la résidence</w:t>
      </w:r>
      <w:r w:rsidR="00FE6969" w:rsidRPr="00E267AB">
        <w:rPr>
          <w:lang w:val="fr-FR"/>
        </w:rPr>
        <w:t xml:space="preserve"> </w:t>
      </w:r>
      <w:r w:rsidRPr="00E267AB">
        <w:rPr>
          <w:lang w:val="fr-FR"/>
        </w:rPr>
        <w:t>d</w:t>
      </w:r>
      <w:r w:rsidR="00FE6969" w:rsidRPr="00E267AB">
        <w:rPr>
          <w:lang w:val="fr-FR"/>
        </w:rPr>
        <w:t>e l</w:t>
      </w:r>
      <w:r w:rsidR="00E267AB" w:rsidRPr="00E267AB">
        <w:rPr>
          <w:lang w:val="fr-FR"/>
        </w:rPr>
        <w:t>’</w:t>
      </w:r>
      <w:r w:rsidR="00FE6969" w:rsidRPr="00E267AB">
        <w:rPr>
          <w:lang w:val="fr-FR"/>
        </w:rPr>
        <w:t>enfant chez N.R</w:t>
      </w:r>
      <w:r w:rsidR="00F0754A" w:rsidRPr="00E267AB">
        <w:rPr>
          <w:lang w:val="fr-FR"/>
        </w:rPr>
        <w:t>.</w:t>
      </w:r>
      <w:r w:rsidR="00FE6969" w:rsidRPr="00E267AB">
        <w:rPr>
          <w:lang w:val="fr-FR"/>
        </w:rPr>
        <w:t xml:space="preserve"> et d</w:t>
      </w:r>
      <w:r w:rsidR="00E267AB" w:rsidRPr="00E267AB">
        <w:rPr>
          <w:lang w:val="fr-FR"/>
        </w:rPr>
        <w:t>’</w:t>
      </w:r>
      <w:r w:rsidR="00FE6969" w:rsidRPr="00E267AB">
        <w:rPr>
          <w:lang w:val="fr-FR"/>
        </w:rPr>
        <w:t xml:space="preserve">avoir fixé </w:t>
      </w:r>
      <w:r w:rsidR="00C707C6" w:rsidRPr="00E267AB">
        <w:rPr>
          <w:lang w:val="fr-FR"/>
        </w:rPr>
        <w:t>l</w:t>
      </w:r>
      <w:r w:rsidR="00FE6969" w:rsidRPr="00E267AB">
        <w:rPr>
          <w:lang w:val="fr-FR"/>
        </w:rPr>
        <w:t xml:space="preserve">es </w:t>
      </w:r>
      <w:r w:rsidR="00C707C6" w:rsidRPr="00E267AB">
        <w:rPr>
          <w:lang w:val="fr-FR"/>
        </w:rPr>
        <w:t>modalités d</w:t>
      </w:r>
      <w:r w:rsidR="00E267AB" w:rsidRPr="00E267AB">
        <w:rPr>
          <w:lang w:val="fr-FR"/>
        </w:rPr>
        <w:t>’</w:t>
      </w:r>
      <w:r w:rsidR="00C707C6" w:rsidRPr="00E267AB">
        <w:rPr>
          <w:lang w:val="fr-FR"/>
        </w:rPr>
        <w:t>exercice du droit</w:t>
      </w:r>
      <w:r w:rsidR="00FE6969" w:rsidRPr="00E267AB">
        <w:rPr>
          <w:lang w:val="fr-FR"/>
        </w:rPr>
        <w:t xml:space="preserve"> de </w:t>
      </w:r>
      <w:r w:rsidRPr="00E267AB">
        <w:rPr>
          <w:lang w:val="fr-FR"/>
        </w:rPr>
        <w:t>visite</w:t>
      </w:r>
      <w:r w:rsidR="00C707C6" w:rsidRPr="00E267AB">
        <w:rPr>
          <w:lang w:val="fr-FR"/>
        </w:rPr>
        <w:t xml:space="preserve"> du requérant selon un régime de rencontres </w:t>
      </w:r>
      <w:r w:rsidR="00B41FA9" w:rsidRPr="00E267AB">
        <w:rPr>
          <w:lang w:val="fr-FR"/>
        </w:rPr>
        <w:t>en milieu protégé</w:t>
      </w:r>
      <w:r w:rsidR="0011304A" w:rsidRPr="00E267AB">
        <w:rPr>
          <w:lang w:val="fr-FR"/>
        </w:rPr>
        <w:t>.</w:t>
      </w:r>
    </w:p>
    <w:p w:rsidR="005B12DE" w:rsidRPr="00E267AB" w:rsidRDefault="005B12DE" w:rsidP="00E267AB">
      <w:pPr>
        <w:pStyle w:val="ECHRPara"/>
        <w:rPr>
          <w:lang w:val="fr-FR"/>
        </w:rPr>
      </w:pPr>
      <w:r w:rsidRPr="00E267AB">
        <w:rPr>
          <w:lang w:val="fr-FR"/>
        </w:rPr>
        <w:lastRenderedPageBreak/>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104</w:t>
      </w:r>
      <w:r w:rsidRPr="00E267AB">
        <w:rPr>
          <w:lang w:val="fr-FR"/>
        </w:rPr>
        <w:fldChar w:fldCharType="end"/>
      </w:r>
      <w:r w:rsidRPr="00E267AB">
        <w:rPr>
          <w:lang w:val="fr-FR"/>
        </w:rPr>
        <w:t>.  De plus</w:t>
      </w:r>
      <w:r w:rsidR="00C707C6" w:rsidRPr="00E267AB">
        <w:rPr>
          <w:lang w:val="fr-FR"/>
        </w:rPr>
        <w:t xml:space="preserve">, aux yeux du Gouvernement, </w:t>
      </w:r>
      <w:r w:rsidRPr="00E267AB">
        <w:rPr>
          <w:lang w:val="fr-FR"/>
        </w:rPr>
        <w:t>toutes les exigences procédurales ont été respectées</w:t>
      </w:r>
      <w:r w:rsidR="00C707C6" w:rsidRPr="00E267AB">
        <w:rPr>
          <w:lang w:val="fr-FR"/>
        </w:rPr>
        <w:t> : a</w:t>
      </w:r>
      <w:r w:rsidRPr="00E267AB">
        <w:rPr>
          <w:lang w:val="fr-FR"/>
        </w:rPr>
        <w:t>u cours de la procédure, le requérant a</w:t>
      </w:r>
      <w:r w:rsidR="00C707C6" w:rsidRPr="00E267AB">
        <w:rPr>
          <w:lang w:val="fr-FR"/>
        </w:rPr>
        <w:t>urait</w:t>
      </w:r>
      <w:r w:rsidRPr="00E267AB">
        <w:rPr>
          <w:lang w:val="fr-FR"/>
        </w:rPr>
        <w:t xml:space="preserve"> eu la possibilité de présenter tous les arguments en faveur de l</w:t>
      </w:r>
      <w:r w:rsidR="00E267AB" w:rsidRPr="00E267AB">
        <w:rPr>
          <w:lang w:val="fr-FR"/>
        </w:rPr>
        <w:t>’</w:t>
      </w:r>
      <w:r w:rsidRPr="00E267AB">
        <w:rPr>
          <w:lang w:val="fr-FR"/>
        </w:rPr>
        <w:t>octroi d</w:t>
      </w:r>
      <w:r w:rsidR="00E267AB" w:rsidRPr="00E267AB">
        <w:rPr>
          <w:lang w:val="fr-FR"/>
        </w:rPr>
        <w:t>’</w:t>
      </w:r>
      <w:r w:rsidRPr="00E267AB">
        <w:rPr>
          <w:lang w:val="fr-FR"/>
        </w:rPr>
        <w:t>un droit de visite et a</w:t>
      </w:r>
      <w:r w:rsidR="00C707C6" w:rsidRPr="00E267AB">
        <w:rPr>
          <w:lang w:val="fr-FR"/>
        </w:rPr>
        <w:t>urait</w:t>
      </w:r>
      <w:r w:rsidRPr="00E267AB">
        <w:rPr>
          <w:lang w:val="fr-FR"/>
        </w:rPr>
        <w:t xml:space="preserve"> aussi eu accès à toutes les informations pertinentes </w:t>
      </w:r>
      <w:r w:rsidR="00C707C6" w:rsidRPr="00E267AB">
        <w:rPr>
          <w:lang w:val="fr-FR"/>
        </w:rPr>
        <w:t>ayant fondé les décisions des</w:t>
      </w:r>
      <w:r w:rsidRPr="00E267AB">
        <w:rPr>
          <w:lang w:val="fr-FR"/>
        </w:rPr>
        <w:t xml:space="preserve"> tribunaux</w:t>
      </w:r>
      <w:r w:rsidR="0011304A" w:rsidRPr="00E267AB">
        <w:rPr>
          <w:lang w:val="fr-FR"/>
        </w:rPr>
        <w:t>.</w:t>
      </w:r>
    </w:p>
    <w:p w:rsidR="00FE6969" w:rsidRPr="00E267AB" w:rsidRDefault="00CB56E1"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105</w:t>
      </w:r>
      <w:r w:rsidRPr="00E267AB">
        <w:rPr>
          <w:lang w:val="fr-FR"/>
        </w:rPr>
        <w:fldChar w:fldCharType="end"/>
      </w:r>
      <w:r w:rsidRPr="00E267AB">
        <w:rPr>
          <w:lang w:val="fr-FR"/>
        </w:rPr>
        <w:t>.  </w:t>
      </w:r>
      <w:r w:rsidR="005B12DE" w:rsidRPr="00E267AB">
        <w:rPr>
          <w:lang w:val="fr-FR"/>
        </w:rPr>
        <w:t>Le Gouvernement</w:t>
      </w:r>
      <w:r w:rsidRPr="00E267AB">
        <w:rPr>
          <w:lang w:val="fr-FR"/>
        </w:rPr>
        <w:t xml:space="preserve"> </w:t>
      </w:r>
      <w:r w:rsidR="00C707C6" w:rsidRPr="00E267AB">
        <w:rPr>
          <w:lang w:val="fr-FR"/>
        </w:rPr>
        <w:t>indique</w:t>
      </w:r>
      <w:r w:rsidRPr="00E267AB">
        <w:rPr>
          <w:lang w:val="fr-FR"/>
        </w:rPr>
        <w:t xml:space="preserve"> qu</w:t>
      </w:r>
      <w:r w:rsidR="00C707C6" w:rsidRPr="00E267AB">
        <w:rPr>
          <w:lang w:val="fr-FR"/>
        </w:rPr>
        <w:t xml:space="preserve">e, </w:t>
      </w:r>
      <w:r w:rsidRPr="00E267AB">
        <w:rPr>
          <w:lang w:val="fr-FR"/>
        </w:rPr>
        <w:t>e</w:t>
      </w:r>
      <w:r w:rsidR="00FE6969" w:rsidRPr="00E267AB">
        <w:rPr>
          <w:lang w:val="fr-FR"/>
        </w:rPr>
        <w:t xml:space="preserve">n 2010, les juridictions </w:t>
      </w:r>
      <w:r w:rsidR="00B44164" w:rsidRPr="00E267AB">
        <w:rPr>
          <w:lang w:val="fr-FR"/>
        </w:rPr>
        <w:t xml:space="preserve">ont pris </w:t>
      </w:r>
      <w:r w:rsidR="00484DA8" w:rsidRPr="00E267AB">
        <w:rPr>
          <w:lang w:val="fr-FR"/>
        </w:rPr>
        <w:t xml:space="preserve">en considération </w:t>
      </w:r>
      <w:r w:rsidR="00B44164" w:rsidRPr="00E267AB">
        <w:rPr>
          <w:lang w:val="fr-FR"/>
        </w:rPr>
        <w:t>l</w:t>
      </w:r>
      <w:r w:rsidR="00C707C6" w:rsidRPr="00E267AB">
        <w:rPr>
          <w:lang w:val="fr-FR"/>
        </w:rPr>
        <w:t>es difficultés relationnelles</w:t>
      </w:r>
      <w:r w:rsidR="00484DA8" w:rsidRPr="00E267AB">
        <w:rPr>
          <w:lang w:val="fr-FR"/>
        </w:rPr>
        <w:t xml:space="preserve"> entre </w:t>
      </w:r>
      <w:r w:rsidR="00B44164" w:rsidRPr="00E267AB">
        <w:rPr>
          <w:lang w:val="fr-FR"/>
        </w:rPr>
        <w:t>le père</w:t>
      </w:r>
      <w:r w:rsidR="00484DA8" w:rsidRPr="00E267AB">
        <w:rPr>
          <w:lang w:val="fr-FR"/>
        </w:rPr>
        <w:t xml:space="preserve"> et </w:t>
      </w:r>
      <w:r w:rsidRPr="00E267AB">
        <w:rPr>
          <w:lang w:val="fr-FR"/>
        </w:rPr>
        <w:t>l</w:t>
      </w:r>
      <w:r w:rsidR="00E267AB" w:rsidRPr="00E267AB">
        <w:rPr>
          <w:lang w:val="fr-FR"/>
        </w:rPr>
        <w:t>’</w:t>
      </w:r>
      <w:r w:rsidRPr="00E267AB">
        <w:rPr>
          <w:lang w:val="fr-FR"/>
        </w:rPr>
        <w:t>enfant</w:t>
      </w:r>
      <w:r w:rsidR="00484DA8" w:rsidRPr="00E267AB">
        <w:rPr>
          <w:lang w:val="fr-FR"/>
        </w:rPr>
        <w:t xml:space="preserve"> </w:t>
      </w:r>
      <w:r w:rsidR="00B44164" w:rsidRPr="00E267AB">
        <w:rPr>
          <w:lang w:val="fr-FR"/>
        </w:rPr>
        <w:t xml:space="preserve">et </w:t>
      </w:r>
      <w:r w:rsidR="00223222" w:rsidRPr="00E267AB">
        <w:rPr>
          <w:lang w:val="fr-FR"/>
        </w:rPr>
        <w:t>qu</w:t>
      </w:r>
      <w:r w:rsidR="00E267AB" w:rsidRPr="00E267AB">
        <w:rPr>
          <w:lang w:val="fr-FR"/>
        </w:rPr>
        <w:t>’</w:t>
      </w:r>
      <w:r w:rsidR="00223222" w:rsidRPr="00E267AB">
        <w:rPr>
          <w:lang w:val="fr-FR"/>
        </w:rPr>
        <w:t xml:space="preserve">elles </w:t>
      </w:r>
      <w:r w:rsidR="00B44164" w:rsidRPr="00E267AB">
        <w:rPr>
          <w:lang w:val="fr-FR"/>
        </w:rPr>
        <w:t>n</w:t>
      </w:r>
      <w:r w:rsidR="00E267AB" w:rsidRPr="00E267AB">
        <w:rPr>
          <w:lang w:val="fr-FR"/>
        </w:rPr>
        <w:t>’</w:t>
      </w:r>
      <w:r w:rsidR="00B44164" w:rsidRPr="00E267AB">
        <w:rPr>
          <w:lang w:val="fr-FR"/>
        </w:rPr>
        <w:t xml:space="preserve">ont ainsi pas voulu octroyer </w:t>
      </w:r>
      <w:r w:rsidR="00223222" w:rsidRPr="00E267AB">
        <w:rPr>
          <w:lang w:val="fr-FR"/>
        </w:rPr>
        <w:t xml:space="preserve">au requérant </w:t>
      </w:r>
      <w:r w:rsidR="00B44164" w:rsidRPr="00E267AB">
        <w:rPr>
          <w:lang w:val="fr-FR"/>
        </w:rPr>
        <w:t xml:space="preserve">la garde exclusive de </w:t>
      </w:r>
      <w:r w:rsidR="00223222" w:rsidRPr="00E267AB">
        <w:rPr>
          <w:lang w:val="fr-FR"/>
        </w:rPr>
        <w:t>la mineure</w:t>
      </w:r>
      <w:r w:rsidR="00B44164" w:rsidRPr="00E267AB">
        <w:rPr>
          <w:lang w:val="fr-FR"/>
        </w:rPr>
        <w:t xml:space="preserve"> </w:t>
      </w:r>
      <w:r w:rsidR="00484DA8" w:rsidRPr="00E267AB">
        <w:rPr>
          <w:lang w:val="fr-FR"/>
        </w:rPr>
        <w:t xml:space="preserve">pour ne pas </w:t>
      </w:r>
      <w:r w:rsidRPr="00E267AB">
        <w:rPr>
          <w:lang w:val="fr-FR"/>
        </w:rPr>
        <w:t>aggraver</w:t>
      </w:r>
      <w:r w:rsidR="00484DA8" w:rsidRPr="00E267AB">
        <w:rPr>
          <w:lang w:val="fr-FR"/>
        </w:rPr>
        <w:t xml:space="preserve"> </w:t>
      </w:r>
      <w:r w:rsidR="00C707C6" w:rsidRPr="00E267AB">
        <w:rPr>
          <w:lang w:val="fr-FR"/>
        </w:rPr>
        <w:t>l</w:t>
      </w:r>
      <w:r w:rsidR="00E267AB" w:rsidRPr="00E267AB">
        <w:rPr>
          <w:lang w:val="fr-FR"/>
        </w:rPr>
        <w:t>’</w:t>
      </w:r>
      <w:r w:rsidR="00484DA8" w:rsidRPr="00E267AB">
        <w:rPr>
          <w:lang w:val="fr-FR"/>
        </w:rPr>
        <w:t xml:space="preserve">état </w:t>
      </w:r>
      <w:r w:rsidRPr="00E267AB">
        <w:rPr>
          <w:lang w:val="fr-FR"/>
        </w:rPr>
        <w:t>psychologique</w:t>
      </w:r>
      <w:r w:rsidR="00C707C6" w:rsidRPr="00E267AB">
        <w:rPr>
          <w:lang w:val="fr-FR"/>
        </w:rPr>
        <w:t xml:space="preserve"> de </w:t>
      </w:r>
      <w:r w:rsidR="00223222" w:rsidRPr="00E267AB">
        <w:rPr>
          <w:lang w:val="fr-FR"/>
        </w:rPr>
        <w:t>cette dernière</w:t>
      </w:r>
      <w:r w:rsidR="00484DA8" w:rsidRPr="00E267AB">
        <w:rPr>
          <w:lang w:val="fr-FR"/>
        </w:rPr>
        <w:t xml:space="preserve">. </w:t>
      </w:r>
      <w:r w:rsidR="005B12DE" w:rsidRPr="00E267AB">
        <w:rPr>
          <w:lang w:val="fr-FR"/>
        </w:rPr>
        <w:t xml:space="preserve">Toutefois, les juridictions </w:t>
      </w:r>
      <w:r w:rsidR="00C707C6" w:rsidRPr="00E267AB">
        <w:rPr>
          <w:lang w:val="fr-FR"/>
        </w:rPr>
        <w:t>auraient</w:t>
      </w:r>
      <w:r w:rsidR="005B12DE" w:rsidRPr="00E267AB">
        <w:rPr>
          <w:lang w:val="fr-FR"/>
        </w:rPr>
        <w:t xml:space="preserve"> toujours œuvré en faveur d</w:t>
      </w:r>
      <w:r w:rsidR="00E267AB" w:rsidRPr="00E267AB">
        <w:rPr>
          <w:lang w:val="fr-FR"/>
        </w:rPr>
        <w:t>’</w:t>
      </w:r>
      <w:r w:rsidR="005B12DE" w:rsidRPr="00E267AB">
        <w:rPr>
          <w:lang w:val="fr-FR"/>
        </w:rPr>
        <w:t>un rapprochement entre le requérant et l</w:t>
      </w:r>
      <w:r w:rsidR="00E267AB" w:rsidRPr="00E267AB">
        <w:rPr>
          <w:lang w:val="fr-FR"/>
        </w:rPr>
        <w:t>’</w:t>
      </w:r>
      <w:r w:rsidR="005B12DE" w:rsidRPr="00E267AB">
        <w:rPr>
          <w:lang w:val="fr-FR"/>
        </w:rPr>
        <w:t>enfant.</w:t>
      </w:r>
      <w:r w:rsidR="0011304A" w:rsidRPr="00E267AB">
        <w:rPr>
          <w:lang w:val="fr-FR"/>
        </w:rPr>
        <w:t xml:space="preserve"> </w:t>
      </w:r>
      <w:r w:rsidR="00C707C6" w:rsidRPr="00E267AB">
        <w:rPr>
          <w:lang w:val="fr-FR"/>
        </w:rPr>
        <w:t>À</w:t>
      </w:r>
      <w:r w:rsidR="0011304A" w:rsidRPr="00E267AB">
        <w:rPr>
          <w:lang w:val="fr-FR"/>
        </w:rPr>
        <w:t xml:space="preserve"> cet égard</w:t>
      </w:r>
      <w:r w:rsidR="00C707C6" w:rsidRPr="00E267AB">
        <w:rPr>
          <w:lang w:val="fr-FR"/>
        </w:rPr>
        <w:t>,</w:t>
      </w:r>
      <w:r w:rsidR="0011304A" w:rsidRPr="00E267AB">
        <w:rPr>
          <w:lang w:val="fr-FR"/>
        </w:rPr>
        <w:t xml:space="preserve"> des mesures de médiation </w:t>
      </w:r>
      <w:r w:rsidR="00C707C6" w:rsidRPr="00E267AB">
        <w:rPr>
          <w:lang w:val="fr-FR"/>
        </w:rPr>
        <w:t>et le suivi d</w:t>
      </w:r>
      <w:r w:rsidR="00E267AB" w:rsidRPr="00E267AB">
        <w:rPr>
          <w:lang w:val="fr-FR"/>
        </w:rPr>
        <w:t>’</w:t>
      </w:r>
      <w:r w:rsidR="0011304A" w:rsidRPr="00E267AB">
        <w:rPr>
          <w:lang w:val="fr-FR"/>
        </w:rPr>
        <w:t>une psychothérapie p</w:t>
      </w:r>
      <w:r w:rsidR="00C707C6" w:rsidRPr="00E267AB">
        <w:rPr>
          <w:lang w:val="fr-FR"/>
        </w:rPr>
        <w:t>a</w:t>
      </w:r>
      <w:r w:rsidR="0011304A" w:rsidRPr="00E267AB">
        <w:rPr>
          <w:lang w:val="fr-FR"/>
        </w:rPr>
        <w:t>r l</w:t>
      </w:r>
      <w:r w:rsidR="00E267AB" w:rsidRPr="00E267AB">
        <w:rPr>
          <w:lang w:val="fr-FR"/>
        </w:rPr>
        <w:t>’</w:t>
      </w:r>
      <w:r w:rsidR="0011304A" w:rsidRPr="00E267AB">
        <w:rPr>
          <w:lang w:val="fr-FR"/>
        </w:rPr>
        <w:t>enfant</w:t>
      </w:r>
      <w:r w:rsidR="00C707C6" w:rsidRPr="00E267AB">
        <w:rPr>
          <w:lang w:val="fr-FR"/>
        </w:rPr>
        <w:t xml:space="preserve"> auraient été ordonnés</w:t>
      </w:r>
      <w:r w:rsidR="0011304A" w:rsidRPr="00E267AB">
        <w:rPr>
          <w:lang w:val="fr-FR"/>
        </w:rPr>
        <w:t>.</w:t>
      </w:r>
    </w:p>
    <w:p w:rsidR="005B12DE" w:rsidRPr="00E267AB" w:rsidRDefault="005B12DE"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106</w:t>
      </w:r>
      <w:r w:rsidRPr="00E267AB">
        <w:rPr>
          <w:lang w:val="fr-FR"/>
        </w:rPr>
        <w:fldChar w:fldCharType="end"/>
      </w:r>
      <w:r w:rsidR="0011304A" w:rsidRPr="00E267AB">
        <w:rPr>
          <w:lang w:val="fr-FR"/>
        </w:rPr>
        <w:t>.  </w:t>
      </w:r>
      <w:r w:rsidR="00DA1761" w:rsidRPr="00E267AB">
        <w:rPr>
          <w:lang w:val="fr-FR"/>
        </w:rPr>
        <w:t xml:space="preserve">Le Gouvernement </w:t>
      </w:r>
      <w:r w:rsidR="00C30A29" w:rsidRPr="00E267AB">
        <w:rPr>
          <w:lang w:val="fr-FR"/>
        </w:rPr>
        <w:t>affirme</w:t>
      </w:r>
      <w:r w:rsidR="00DA1761" w:rsidRPr="00E267AB">
        <w:rPr>
          <w:lang w:val="fr-FR"/>
        </w:rPr>
        <w:t xml:space="preserve"> que</w:t>
      </w:r>
      <w:r w:rsidR="00AB2640" w:rsidRPr="00E267AB">
        <w:rPr>
          <w:lang w:val="fr-FR"/>
        </w:rPr>
        <w:t xml:space="preserve"> </w:t>
      </w:r>
      <w:r w:rsidRPr="00E267AB">
        <w:rPr>
          <w:lang w:val="fr-FR"/>
        </w:rPr>
        <w:t>les juridictions n</w:t>
      </w:r>
      <w:r w:rsidR="00E267AB" w:rsidRPr="00E267AB">
        <w:rPr>
          <w:lang w:val="fr-FR"/>
        </w:rPr>
        <w:t>’</w:t>
      </w:r>
      <w:r w:rsidRPr="00E267AB">
        <w:rPr>
          <w:lang w:val="fr-FR"/>
        </w:rPr>
        <w:t>ont pas attribué la garde au requérant</w:t>
      </w:r>
      <w:r w:rsidR="00AB2640" w:rsidRPr="00E267AB">
        <w:rPr>
          <w:lang w:val="fr-FR"/>
        </w:rPr>
        <w:t xml:space="preserve">, en dépit du comportement de la mère, </w:t>
      </w:r>
      <w:r w:rsidR="00C30A29" w:rsidRPr="00E267AB">
        <w:rPr>
          <w:lang w:val="fr-FR"/>
        </w:rPr>
        <w:t>afin de</w:t>
      </w:r>
      <w:r w:rsidRPr="00E267AB">
        <w:rPr>
          <w:lang w:val="fr-FR"/>
        </w:rPr>
        <w:t xml:space="preserve"> protéger l</w:t>
      </w:r>
      <w:r w:rsidR="00E267AB" w:rsidRPr="00E267AB">
        <w:rPr>
          <w:lang w:val="fr-FR"/>
        </w:rPr>
        <w:t>’</w:t>
      </w:r>
      <w:r w:rsidRPr="00E267AB">
        <w:rPr>
          <w:lang w:val="fr-FR"/>
        </w:rPr>
        <w:t xml:space="preserve">enfant et </w:t>
      </w:r>
      <w:r w:rsidR="00C30A29" w:rsidRPr="00E267AB">
        <w:rPr>
          <w:lang w:val="fr-FR"/>
        </w:rPr>
        <w:t>qu</w:t>
      </w:r>
      <w:r w:rsidR="00E267AB" w:rsidRPr="00E267AB">
        <w:rPr>
          <w:lang w:val="fr-FR"/>
        </w:rPr>
        <w:t>’</w:t>
      </w:r>
      <w:r w:rsidR="00C30A29" w:rsidRPr="00E267AB">
        <w:rPr>
          <w:lang w:val="fr-FR"/>
        </w:rPr>
        <w:t xml:space="preserve">elles ont agi de la sorte </w:t>
      </w:r>
      <w:r w:rsidRPr="00E267AB">
        <w:rPr>
          <w:lang w:val="fr-FR"/>
        </w:rPr>
        <w:t xml:space="preserve">exclusivement dans </w:t>
      </w:r>
      <w:r w:rsidR="00DA1761" w:rsidRPr="00E267AB">
        <w:rPr>
          <w:lang w:val="fr-FR"/>
        </w:rPr>
        <w:t>l</w:t>
      </w:r>
      <w:r w:rsidR="00E267AB" w:rsidRPr="00E267AB">
        <w:rPr>
          <w:lang w:val="fr-FR"/>
        </w:rPr>
        <w:t>’</w:t>
      </w:r>
      <w:r w:rsidRPr="00E267AB">
        <w:rPr>
          <w:lang w:val="fr-FR"/>
        </w:rPr>
        <w:t>intérêt</w:t>
      </w:r>
      <w:r w:rsidR="00DA1761" w:rsidRPr="00E267AB">
        <w:rPr>
          <w:lang w:val="fr-FR"/>
        </w:rPr>
        <w:t xml:space="preserve"> de cette dernière</w:t>
      </w:r>
      <w:r w:rsidRPr="00E267AB">
        <w:rPr>
          <w:lang w:val="fr-FR"/>
        </w:rPr>
        <w:t>.</w:t>
      </w:r>
    </w:p>
    <w:p w:rsidR="00484DA8" w:rsidRPr="00E267AB" w:rsidRDefault="00484DA8"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107</w:t>
      </w:r>
      <w:r w:rsidRPr="00E267AB">
        <w:rPr>
          <w:lang w:val="fr-FR"/>
        </w:rPr>
        <w:fldChar w:fldCharType="end"/>
      </w:r>
      <w:r w:rsidR="00CB56E1" w:rsidRPr="00E267AB">
        <w:rPr>
          <w:lang w:val="fr-FR"/>
        </w:rPr>
        <w:t>.  Le G</w:t>
      </w:r>
      <w:r w:rsidRPr="00E267AB">
        <w:rPr>
          <w:lang w:val="fr-FR"/>
        </w:rPr>
        <w:t>ouvernement sou</w:t>
      </w:r>
      <w:r w:rsidR="00DA1761" w:rsidRPr="00E267AB">
        <w:rPr>
          <w:lang w:val="fr-FR"/>
        </w:rPr>
        <w:t>tient</w:t>
      </w:r>
      <w:r w:rsidRPr="00E267AB">
        <w:rPr>
          <w:lang w:val="fr-FR"/>
        </w:rPr>
        <w:t xml:space="preserve"> que</w:t>
      </w:r>
      <w:r w:rsidR="0039251E" w:rsidRPr="00E267AB">
        <w:rPr>
          <w:lang w:val="fr-FR"/>
        </w:rPr>
        <w:t>,</w:t>
      </w:r>
      <w:r w:rsidRPr="00E267AB">
        <w:rPr>
          <w:lang w:val="fr-FR"/>
        </w:rPr>
        <w:t xml:space="preserve"> même si le s</w:t>
      </w:r>
      <w:r w:rsidR="00CB56E1" w:rsidRPr="00E267AB">
        <w:rPr>
          <w:lang w:val="fr-FR"/>
        </w:rPr>
        <w:t>ystème</w:t>
      </w:r>
      <w:r w:rsidRPr="00E267AB">
        <w:rPr>
          <w:lang w:val="fr-FR"/>
        </w:rPr>
        <w:t xml:space="preserve"> italien ne </w:t>
      </w:r>
      <w:r w:rsidR="00CB56E1" w:rsidRPr="00E267AB">
        <w:rPr>
          <w:lang w:val="fr-FR"/>
        </w:rPr>
        <w:t>prévoit</w:t>
      </w:r>
      <w:r w:rsidRPr="00E267AB">
        <w:rPr>
          <w:lang w:val="fr-FR"/>
        </w:rPr>
        <w:t xml:space="preserve"> pas </w:t>
      </w:r>
      <w:r w:rsidR="00DA1761" w:rsidRPr="00E267AB">
        <w:rPr>
          <w:lang w:val="fr-FR"/>
        </w:rPr>
        <w:t>de</w:t>
      </w:r>
      <w:r w:rsidRPr="00E267AB">
        <w:rPr>
          <w:lang w:val="fr-FR"/>
        </w:rPr>
        <w:t xml:space="preserve"> mesure</w:t>
      </w:r>
      <w:r w:rsidR="00DA1761" w:rsidRPr="00E267AB">
        <w:rPr>
          <w:lang w:val="fr-FR"/>
        </w:rPr>
        <w:t>s</w:t>
      </w:r>
      <w:r w:rsidRPr="00E267AB">
        <w:rPr>
          <w:lang w:val="fr-FR"/>
        </w:rPr>
        <w:t xml:space="preserve"> qui </w:t>
      </w:r>
      <w:r w:rsidR="00DA1761" w:rsidRPr="00E267AB">
        <w:rPr>
          <w:lang w:val="fr-FR"/>
        </w:rPr>
        <w:t>auraient permis d</w:t>
      </w:r>
      <w:r w:rsidR="00E267AB" w:rsidRPr="00E267AB">
        <w:rPr>
          <w:lang w:val="fr-FR"/>
        </w:rPr>
        <w:t>’</w:t>
      </w:r>
      <w:r w:rsidRPr="00E267AB">
        <w:rPr>
          <w:lang w:val="fr-FR"/>
        </w:rPr>
        <w:t>impos</w:t>
      </w:r>
      <w:r w:rsidR="00DA1761" w:rsidRPr="00E267AB">
        <w:rPr>
          <w:lang w:val="fr-FR"/>
        </w:rPr>
        <w:t>er</w:t>
      </w:r>
      <w:r w:rsidRPr="00E267AB">
        <w:rPr>
          <w:lang w:val="fr-FR"/>
        </w:rPr>
        <w:t xml:space="preserve"> </w:t>
      </w:r>
      <w:r w:rsidR="00DA1761" w:rsidRPr="00E267AB">
        <w:rPr>
          <w:lang w:val="fr-FR"/>
        </w:rPr>
        <w:t>une exécution de</w:t>
      </w:r>
      <w:r w:rsidRPr="00E267AB">
        <w:rPr>
          <w:lang w:val="fr-FR"/>
        </w:rPr>
        <w:t xml:space="preserve"> </w:t>
      </w:r>
      <w:r w:rsidR="005B12DE" w:rsidRPr="00E267AB">
        <w:rPr>
          <w:lang w:val="fr-FR"/>
        </w:rPr>
        <w:t xml:space="preserve">la </w:t>
      </w:r>
      <w:r w:rsidR="00CB56E1" w:rsidRPr="00E267AB">
        <w:rPr>
          <w:lang w:val="fr-FR"/>
        </w:rPr>
        <w:t xml:space="preserve">décision portant sur </w:t>
      </w:r>
      <w:r w:rsidR="005B12DE" w:rsidRPr="00E267AB">
        <w:rPr>
          <w:lang w:val="fr-FR"/>
        </w:rPr>
        <w:t xml:space="preserve">le </w:t>
      </w:r>
      <w:r w:rsidR="00CB56E1" w:rsidRPr="00E267AB">
        <w:rPr>
          <w:lang w:val="fr-FR"/>
        </w:rPr>
        <w:t>droit de visite</w:t>
      </w:r>
      <w:r w:rsidR="005B12DE" w:rsidRPr="00E267AB">
        <w:rPr>
          <w:lang w:val="fr-FR"/>
        </w:rPr>
        <w:t xml:space="preserve"> du requérant</w:t>
      </w:r>
      <w:r w:rsidR="00EA7759" w:rsidRPr="00E267AB">
        <w:rPr>
          <w:lang w:val="fr-FR"/>
        </w:rPr>
        <w:t xml:space="preserve"> à N.R.</w:t>
      </w:r>
      <w:r w:rsidR="00CB56E1" w:rsidRPr="00E267AB">
        <w:rPr>
          <w:lang w:val="fr-FR"/>
        </w:rPr>
        <w:t xml:space="preserve">, </w:t>
      </w:r>
      <w:r w:rsidR="00DE036A" w:rsidRPr="00E267AB">
        <w:rPr>
          <w:lang w:val="fr-FR"/>
        </w:rPr>
        <w:t>cette dernière</w:t>
      </w:r>
      <w:r w:rsidRPr="00E267AB">
        <w:rPr>
          <w:lang w:val="fr-FR"/>
        </w:rPr>
        <w:t xml:space="preserve"> a été</w:t>
      </w:r>
      <w:r w:rsidR="00B21E1F" w:rsidRPr="00E267AB">
        <w:rPr>
          <w:lang w:val="fr-FR"/>
        </w:rPr>
        <w:t xml:space="preserve"> </w:t>
      </w:r>
      <w:r w:rsidR="00CB56E1" w:rsidRPr="00E267AB">
        <w:rPr>
          <w:lang w:val="fr-FR"/>
        </w:rPr>
        <w:t>soumise au paiement</w:t>
      </w:r>
      <w:r w:rsidR="001E6854" w:rsidRPr="00E267AB">
        <w:rPr>
          <w:lang w:val="fr-FR"/>
        </w:rPr>
        <w:t xml:space="preserve"> d</w:t>
      </w:r>
      <w:r w:rsidR="00E267AB" w:rsidRPr="00E267AB">
        <w:rPr>
          <w:lang w:val="fr-FR"/>
        </w:rPr>
        <w:t>’</w:t>
      </w:r>
      <w:r w:rsidR="001E6854" w:rsidRPr="00E267AB">
        <w:rPr>
          <w:lang w:val="fr-FR"/>
        </w:rPr>
        <w:t xml:space="preserve">une amende pour avoir fait passer une </w:t>
      </w:r>
      <w:r w:rsidR="00CB56E1" w:rsidRPr="00E267AB">
        <w:rPr>
          <w:lang w:val="fr-FR"/>
        </w:rPr>
        <w:t>visite</w:t>
      </w:r>
      <w:r w:rsidR="001E6854" w:rsidRPr="00E267AB">
        <w:rPr>
          <w:lang w:val="fr-FR"/>
        </w:rPr>
        <w:t xml:space="preserve"> </w:t>
      </w:r>
      <w:r w:rsidR="00CB56E1" w:rsidRPr="00E267AB">
        <w:rPr>
          <w:lang w:val="fr-FR"/>
        </w:rPr>
        <w:t>gynécologique</w:t>
      </w:r>
      <w:r w:rsidR="001E6854" w:rsidRPr="00E267AB">
        <w:rPr>
          <w:lang w:val="fr-FR"/>
        </w:rPr>
        <w:t xml:space="preserve"> </w:t>
      </w:r>
      <w:r w:rsidR="005B12DE" w:rsidRPr="00E267AB">
        <w:rPr>
          <w:lang w:val="fr-FR"/>
        </w:rPr>
        <w:t>à</w:t>
      </w:r>
      <w:r w:rsidR="001E6854" w:rsidRPr="00E267AB">
        <w:rPr>
          <w:lang w:val="fr-FR"/>
        </w:rPr>
        <w:t xml:space="preserve"> l</w:t>
      </w:r>
      <w:r w:rsidR="00E267AB" w:rsidRPr="00E267AB">
        <w:rPr>
          <w:lang w:val="fr-FR"/>
        </w:rPr>
        <w:t>’</w:t>
      </w:r>
      <w:r w:rsidR="001E6854" w:rsidRPr="00E267AB">
        <w:rPr>
          <w:lang w:val="fr-FR"/>
        </w:rPr>
        <w:t>enfant</w:t>
      </w:r>
      <w:r w:rsidR="00E115C3" w:rsidRPr="00E267AB">
        <w:rPr>
          <w:lang w:val="fr-FR"/>
        </w:rPr>
        <w:t>,</w:t>
      </w:r>
      <w:r w:rsidR="001E6854" w:rsidRPr="00E267AB">
        <w:rPr>
          <w:lang w:val="fr-FR"/>
        </w:rPr>
        <w:t xml:space="preserve"> </w:t>
      </w:r>
      <w:r w:rsidR="00CB56E1" w:rsidRPr="00E267AB">
        <w:rPr>
          <w:lang w:val="fr-FR"/>
        </w:rPr>
        <w:t>empêché</w:t>
      </w:r>
      <w:r w:rsidR="001E6854" w:rsidRPr="00E267AB">
        <w:rPr>
          <w:lang w:val="fr-FR"/>
        </w:rPr>
        <w:t xml:space="preserve"> les contacts avec le père et </w:t>
      </w:r>
      <w:r w:rsidR="00E115C3" w:rsidRPr="00E267AB">
        <w:rPr>
          <w:lang w:val="fr-FR"/>
        </w:rPr>
        <w:t>exercé des</w:t>
      </w:r>
      <w:r w:rsidR="001E6854" w:rsidRPr="00E267AB">
        <w:rPr>
          <w:lang w:val="fr-FR"/>
        </w:rPr>
        <w:t xml:space="preserve"> pression</w:t>
      </w:r>
      <w:r w:rsidR="00E115C3" w:rsidRPr="00E267AB">
        <w:rPr>
          <w:lang w:val="fr-FR"/>
        </w:rPr>
        <w:t>s</w:t>
      </w:r>
      <w:r w:rsidR="001E6854" w:rsidRPr="00E267AB">
        <w:rPr>
          <w:lang w:val="fr-FR"/>
        </w:rPr>
        <w:t xml:space="preserve"> </w:t>
      </w:r>
      <w:r w:rsidR="00CB56E1" w:rsidRPr="00E267AB">
        <w:rPr>
          <w:lang w:val="fr-FR"/>
        </w:rPr>
        <w:t>p</w:t>
      </w:r>
      <w:r w:rsidR="00EA7759" w:rsidRPr="00E267AB">
        <w:rPr>
          <w:lang w:val="fr-FR"/>
        </w:rPr>
        <w:t>s</w:t>
      </w:r>
      <w:r w:rsidR="00CB56E1" w:rsidRPr="00E267AB">
        <w:rPr>
          <w:lang w:val="fr-FR"/>
        </w:rPr>
        <w:t>yc</w:t>
      </w:r>
      <w:r w:rsidR="00EA7759" w:rsidRPr="00E267AB">
        <w:rPr>
          <w:lang w:val="fr-FR"/>
        </w:rPr>
        <w:t>h</w:t>
      </w:r>
      <w:r w:rsidR="00CB56E1" w:rsidRPr="00E267AB">
        <w:rPr>
          <w:lang w:val="fr-FR"/>
        </w:rPr>
        <w:t>ologique</w:t>
      </w:r>
      <w:r w:rsidR="00E115C3" w:rsidRPr="00E267AB">
        <w:rPr>
          <w:lang w:val="fr-FR"/>
        </w:rPr>
        <w:t>s</w:t>
      </w:r>
      <w:r w:rsidR="00CB56E1" w:rsidRPr="00E267AB">
        <w:rPr>
          <w:lang w:val="fr-FR"/>
        </w:rPr>
        <w:t xml:space="preserve"> sur l</w:t>
      </w:r>
      <w:r w:rsidR="00E267AB" w:rsidRPr="00E267AB">
        <w:rPr>
          <w:lang w:val="fr-FR"/>
        </w:rPr>
        <w:t>’</w:t>
      </w:r>
      <w:r w:rsidR="00CB56E1" w:rsidRPr="00E267AB">
        <w:rPr>
          <w:lang w:val="fr-FR"/>
        </w:rPr>
        <w:t>enfant.</w:t>
      </w:r>
      <w:r w:rsidR="00DE036A" w:rsidRPr="00E267AB">
        <w:rPr>
          <w:lang w:val="fr-FR"/>
        </w:rPr>
        <w:t xml:space="preserve"> De plus, </w:t>
      </w:r>
      <w:r w:rsidR="00974916" w:rsidRPr="00E267AB">
        <w:rPr>
          <w:lang w:val="fr-FR"/>
        </w:rPr>
        <w:t xml:space="preserve">il </w:t>
      </w:r>
      <w:r w:rsidR="00E115C3" w:rsidRPr="00E267AB">
        <w:rPr>
          <w:lang w:val="fr-FR"/>
        </w:rPr>
        <w:t>fait observer</w:t>
      </w:r>
      <w:r w:rsidR="00DE036A" w:rsidRPr="00E267AB">
        <w:rPr>
          <w:lang w:val="fr-FR"/>
        </w:rPr>
        <w:t xml:space="preserve"> qu</w:t>
      </w:r>
      <w:r w:rsidR="00E267AB" w:rsidRPr="00E267AB">
        <w:rPr>
          <w:lang w:val="fr-FR"/>
        </w:rPr>
        <w:t>’</w:t>
      </w:r>
      <w:r w:rsidR="00DE036A" w:rsidRPr="00E267AB">
        <w:rPr>
          <w:lang w:val="fr-FR"/>
        </w:rPr>
        <w:t>une procédure pénale est pendante contre N.R.</w:t>
      </w:r>
    </w:p>
    <w:p w:rsidR="00B21E1F" w:rsidRPr="00E267AB" w:rsidRDefault="00CB56E1"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108</w:t>
      </w:r>
      <w:r w:rsidRPr="00E267AB">
        <w:rPr>
          <w:lang w:val="fr-FR"/>
        </w:rPr>
        <w:fldChar w:fldCharType="end"/>
      </w:r>
      <w:r w:rsidRPr="00E267AB">
        <w:rPr>
          <w:lang w:val="fr-FR"/>
        </w:rPr>
        <w:t>. </w:t>
      </w:r>
      <w:r w:rsidR="00765C9A" w:rsidRPr="00E267AB">
        <w:rPr>
          <w:lang w:val="fr-FR"/>
        </w:rPr>
        <w:t> </w:t>
      </w:r>
      <w:r w:rsidR="005B12DE" w:rsidRPr="00E267AB">
        <w:rPr>
          <w:lang w:val="fr-FR"/>
        </w:rPr>
        <w:t>Le Gouvernement est</w:t>
      </w:r>
      <w:r w:rsidR="00974916" w:rsidRPr="00E267AB">
        <w:rPr>
          <w:lang w:val="fr-FR"/>
        </w:rPr>
        <w:t>ime</w:t>
      </w:r>
      <w:r w:rsidR="005B12DE" w:rsidRPr="00E267AB">
        <w:rPr>
          <w:lang w:val="fr-FR"/>
        </w:rPr>
        <w:t xml:space="preserve"> que </w:t>
      </w:r>
      <w:r w:rsidR="00E115C3" w:rsidRPr="00E267AB">
        <w:rPr>
          <w:lang w:val="fr-FR"/>
        </w:rPr>
        <w:t xml:space="preserve">le requérant a pu avoir des contacts avec </w:t>
      </w:r>
      <w:r w:rsidR="00974916" w:rsidRPr="00E267AB">
        <w:rPr>
          <w:lang w:val="fr-FR"/>
        </w:rPr>
        <w:t xml:space="preserve">sa fille </w:t>
      </w:r>
      <w:r w:rsidRPr="00E267AB">
        <w:rPr>
          <w:lang w:val="fr-FR"/>
        </w:rPr>
        <w:t>grâce</w:t>
      </w:r>
      <w:r w:rsidR="001E6854" w:rsidRPr="00E267AB">
        <w:rPr>
          <w:lang w:val="fr-FR"/>
        </w:rPr>
        <w:t xml:space="preserve"> aux services </w:t>
      </w:r>
      <w:r w:rsidRPr="00E267AB">
        <w:rPr>
          <w:lang w:val="fr-FR"/>
        </w:rPr>
        <w:t>sociaux</w:t>
      </w:r>
      <w:r w:rsidR="001E6854" w:rsidRPr="00E267AB">
        <w:rPr>
          <w:lang w:val="fr-FR"/>
        </w:rPr>
        <w:t xml:space="preserve"> </w:t>
      </w:r>
      <w:r w:rsidR="00E115C3" w:rsidRPr="00E267AB">
        <w:rPr>
          <w:lang w:val="fr-FR"/>
        </w:rPr>
        <w:t xml:space="preserve">et </w:t>
      </w:r>
      <w:r w:rsidR="001E6854" w:rsidRPr="00E267AB">
        <w:rPr>
          <w:lang w:val="fr-FR"/>
        </w:rPr>
        <w:t>que</w:t>
      </w:r>
      <w:r w:rsidR="00E115C3" w:rsidRPr="00E267AB">
        <w:rPr>
          <w:lang w:val="fr-FR"/>
        </w:rPr>
        <w:t>,</w:t>
      </w:r>
      <w:r w:rsidR="001E6854" w:rsidRPr="00E267AB">
        <w:rPr>
          <w:lang w:val="fr-FR"/>
        </w:rPr>
        <w:t xml:space="preserve"> si les </w:t>
      </w:r>
      <w:r w:rsidR="00344B0B" w:rsidRPr="00E267AB">
        <w:rPr>
          <w:lang w:val="fr-FR"/>
        </w:rPr>
        <w:t>visites</w:t>
      </w:r>
      <w:r w:rsidR="001E6854" w:rsidRPr="00E267AB">
        <w:rPr>
          <w:lang w:val="fr-FR"/>
        </w:rPr>
        <w:t xml:space="preserve"> ne se </w:t>
      </w:r>
      <w:r w:rsidR="00E115C3" w:rsidRPr="00E267AB">
        <w:rPr>
          <w:lang w:val="fr-FR"/>
        </w:rPr>
        <w:t xml:space="preserve">sont pas </w:t>
      </w:r>
      <w:r w:rsidRPr="00E267AB">
        <w:rPr>
          <w:lang w:val="fr-FR"/>
        </w:rPr>
        <w:t>déroul</w:t>
      </w:r>
      <w:r w:rsidR="00E115C3" w:rsidRPr="00E267AB">
        <w:rPr>
          <w:lang w:val="fr-FR"/>
        </w:rPr>
        <w:t>ées</w:t>
      </w:r>
      <w:r w:rsidR="001E6854" w:rsidRPr="00E267AB">
        <w:rPr>
          <w:lang w:val="fr-FR"/>
        </w:rPr>
        <w:t xml:space="preserve"> correctement</w:t>
      </w:r>
      <w:r w:rsidR="00E115C3" w:rsidRPr="00E267AB">
        <w:rPr>
          <w:lang w:val="fr-FR"/>
        </w:rPr>
        <w:t>,</w:t>
      </w:r>
      <w:r w:rsidR="001E6854" w:rsidRPr="00E267AB">
        <w:rPr>
          <w:lang w:val="fr-FR"/>
        </w:rPr>
        <w:t xml:space="preserve"> c</w:t>
      </w:r>
      <w:r w:rsidR="00E267AB" w:rsidRPr="00E267AB">
        <w:rPr>
          <w:lang w:val="fr-FR"/>
        </w:rPr>
        <w:t>’</w:t>
      </w:r>
      <w:r w:rsidR="001E6854" w:rsidRPr="00E267AB">
        <w:rPr>
          <w:lang w:val="fr-FR"/>
        </w:rPr>
        <w:t xml:space="preserve">est </w:t>
      </w:r>
      <w:r w:rsidR="00974916" w:rsidRPr="00E267AB">
        <w:rPr>
          <w:lang w:val="fr-FR"/>
        </w:rPr>
        <w:t>en raison</w:t>
      </w:r>
      <w:r w:rsidR="001E6854" w:rsidRPr="00E267AB">
        <w:rPr>
          <w:lang w:val="fr-FR"/>
        </w:rPr>
        <w:t xml:space="preserve"> du refus d</w:t>
      </w:r>
      <w:r w:rsidR="001B771C" w:rsidRPr="00E267AB">
        <w:rPr>
          <w:lang w:val="fr-FR"/>
        </w:rPr>
        <w:t>e l</w:t>
      </w:r>
      <w:r w:rsidR="00E267AB" w:rsidRPr="00E267AB">
        <w:rPr>
          <w:lang w:val="fr-FR"/>
        </w:rPr>
        <w:t>’</w:t>
      </w:r>
      <w:r w:rsidR="001B771C" w:rsidRPr="00E267AB">
        <w:rPr>
          <w:lang w:val="fr-FR"/>
        </w:rPr>
        <w:t>enfant d</w:t>
      </w:r>
      <w:r w:rsidR="001E6854" w:rsidRPr="00E267AB">
        <w:rPr>
          <w:lang w:val="fr-FR"/>
        </w:rPr>
        <w:t>e</w:t>
      </w:r>
      <w:r w:rsidR="001B771C" w:rsidRPr="00E267AB">
        <w:rPr>
          <w:lang w:val="fr-FR"/>
        </w:rPr>
        <w:t xml:space="preserve"> </w:t>
      </w:r>
      <w:r w:rsidR="001E6854" w:rsidRPr="00E267AB">
        <w:rPr>
          <w:lang w:val="fr-FR"/>
        </w:rPr>
        <w:t>voir</w:t>
      </w:r>
      <w:r w:rsidR="00FD6502" w:rsidRPr="00E267AB">
        <w:rPr>
          <w:lang w:val="fr-FR"/>
        </w:rPr>
        <w:t xml:space="preserve"> </w:t>
      </w:r>
      <w:r w:rsidR="00974916" w:rsidRPr="00E267AB">
        <w:rPr>
          <w:lang w:val="fr-FR"/>
        </w:rPr>
        <w:t>l</w:t>
      </w:r>
      <w:r w:rsidR="00E267AB" w:rsidRPr="00E267AB">
        <w:rPr>
          <w:lang w:val="fr-FR"/>
        </w:rPr>
        <w:t>’</w:t>
      </w:r>
      <w:r w:rsidR="00974916" w:rsidRPr="00E267AB">
        <w:rPr>
          <w:lang w:val="fr-FR"/>
        </w:rPr>
        <w:t>intéressé</w:t>
      </w:r>
      <w:r w:rsidR="001E6854" w:rsidRPr="00E267AB">
        <w:rPr>
          <w:lang w:val="fr-FR"/>
        </w:rPr>
        <w:t xml:space="preserve">. </w:t>
      </w:r>
      <w:r w:rsidR="00E115C3" w:rsidRPr="00E267AB">
        <w:rPr>
          <w:lang w:val="fr-FR"/>
        </w:rPr>
        <w:t>D</w:t>
      </w:r>
      <w:r w:rsidR="00E267AB" w:rsidRPr="00E267AB">
        <w:rPr>
          <w:lang w:val="fr-FR"/>
        </w:rPr>
        <w:t>’</w:t>
      </w:r>
      <w:r w:rsidR="00E115C3" w:rsidRPr="00E267AB">
        <w:rPr>
          <w:lang w:val="fr-FR"/>
        </w:rPr>
        <w:t>après lui, l</w:t>
      </w:r>
      <w:r w:rsidR="001E6854" w:rsidRPr="00E267AB">
        <w:rPr>
          <w:lang w:val="fr-FR"/>
        </w:rPr>
        <w:t xml:space="preserve">es autorités ne </w:t>
      </w:r>
      <w:r w:rsidR="00E115C3" w:rsidRPr="00E267AB">
        <w:rPr>
          <w:lang w:val="fr-FR"/>
        </w:rPr>
        <w:t>pouvaient</w:t>
      </w:r>
      <w:r w:rsidR="001E6854" w:rsidRPr="00E267AB">
        <w:rPr>
          <w:lang w:val="fr-FR"/>
        </w:rPr>
        <w:t xml:space="preserve"> pas forcer l</w:t>
      </w:r>
      <w:r w:rsidR="00E267AB" w:rsidRPr="00E267AB">
        <w:rPr>
          <w:lang w:val="fr-FR"/>
        </w:rPr>
        <w:t>’</w:t>
      </w:r>
      <w:r w:rsidR="001E6854" w:rsidRPr="00E267AB">
        <w:rPr>
          <w:lang w:val="fr-FR"/>
        </w:rPr>
        <w:t xml:space="preserve">enfant à </w:t>
      </w:r>
      <w:r w:rsidR="00344B0B" w:rsidRPr="00E267AB">
        <w:rPr>
          <w:lang w:val="fr-FR"/>
        </w:rPr>
        <w:t>rencontrer</w:t>
      </w:r>
      <w:r w:rsidR="001E6854" w:rsidRPr="00E267AB">
        <w:rPr>
          <w:lang w:val="fr-FR"/>
        </w:rPr>
        <w:t xml:space="preserve"> </w:t>
      </w:r>
      <w:r w:rsidR="00E115C3" w:rsidRPr="00E267AB">
        <w:rPr>
          <w:lang w:val="fr-FR"/>
        </w:rPr>
        <w:t xml:space="preserve">son </w:t>
      </w:r>
      <w:r w:rsidR="001E6854" w:rsidRPr="00E267AB">
        <w:rPr>
          <w:lang w:val="fr-FR"/>
        </w:rPr>
        <w:t>père.</w:t>
      </w:r>
    </w:p>
    <w:p w:rsidR="00CB56E1" w:rsidRPr="00E267AB" w:rsidRDefault="00CB56E1"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109</w:t>
      </w:r>
      <w:r w:rsidRPr="00E267AB">
        <w:rPr>
          <w:lang w:val="fr-FR"/>
        </w:rPr>
        <w:fldChar w:fldCharType="end"/>
      </w:r>
      <w:r w:rsidRPr="00E267AB">
        <w:rPr>
          <w:lang w:val="fr-FR"/>
        </w:rPr>
        <w:t>.  </w:t>
      </w:r>
      <w:r w:rsidR="005B12DE" w:rsidRPr="00E267AB">
        <w:rPr>
          <w:lang w:val="fr-FR"/>
        </w:rPr>
        <w:t xml:space="preserve">Le Gouvernement </w:t>
      </w:r>
      <w:r w:rsidR="003F7A06" w:rsidRPr="00E267AB">
        <w:rPr>
          <w:lang w:val="fr-FR"/>
        </w:rPr>
        <w:t xml:space="preserve">soutient en </w:t>
      </w:r>
      <w:r w:rsidR="005B12DE" w:rsidRPr="00E267AB">
        <w:rPr>
          <w:lang w:val="fr-FR"/>
        </w:rPr>
        <w:t>conclu</w:t>
      </w:r>
      <w:r w:rsidR="003F7A06" w:rsidRPr="00E267AB">
        <w:rPr>
          <w:lang w:val="fr-FR"/>
        </w:rPr>
        <w:t>sion</w:t>
      </w:r>
      <w:r w:rsidR="005B12DE" w:rsidRPr="00E267AB">
        <w:rPr>
          <w:lang w:val="fr-FR"/>
        </w:rPr>
        <w:t xml:space="preserve"> que les autorités ont agi exclusivement dans l</w:t>
      </w:r>
      <w:r w:rsidR="00E267AB" w:rsidRPr="00E267AB">
        <w:rPr>
          <w:lang w:val="fr-FR"/>
        </w:rPr>
        <w:t>’</w:t>
      </w:r>
      <w:r w:rsidR="005B12DE" w:rsidRPr="00E267AB">
        <w:rPr>
          <w:lang w:val="fr-FR"/>
        </w:rPr>
        <w:t>intérêt de l</w:t>
      </w:r>
      <w:r w:rsidR="00E267AB" w:rsidRPr="00E267AB">
        <w:rPr>
          <w:lang w:val="fr-FR"/>
        </w:rPr>
        <w:t>’</w:t>
      </w:r>
      <w:r w:rsidR="005B12DE" w:rsidRPr="00E267AB">
        <w:rPr>
          <w:lang w:val="fr-FR"/>
        </w:rPr>
        <w:t>enfant</w:t>
      </w:r>
      <w:r w:rsidR="003F7A06" w:rsidRPr="00E267AB">
        <w:rPr>
          <w:lang w:val="fr-FR"/>
        </w:rPr>
        <w:t xml:space="preserve">, </w:t>
      </w:r>
      <w:r w:rsidR="00834D5C" w:rsidRPr="00E267AB">
        <w:rPr>
          <w:lang w:val="fr-FR"/>
        </w:rPr>
        <w:t xml:space="preserve">et ce, selon lui, </w:t>
      </w:r>
      <w:r w:rsidR="003F7A06" w:rsidRPr="00E267AB">
        <w:rPr>
          <w:lang w:val="fr-FR"/>
        </w:rPr>
        <w:t>après avoir</w:t>
      </w:r>
      <w:r w:rsidR="00E115C3" w:rsidRPr="00E267AB">
        <w:rPr>
          <w:lang w:val="fr-FR"/>
        </w:rPr>
        <w:t xml:space="preserve"> procéd</w:t>
      </w:r>
      <w:r w:rsidR="003F7A06" w:rsidRPr="00E267AB">
        <w:rPr>
          <w:lang w:val="fr-FR"/>
        </w:rPr>
        <w:t>é</w:t>
      </w:r>
      <w:r w:rsidR="00E115C3" w:rsidRPr="00E267AB">
        <w:rPr>
          <w:lang w:val="fr-FR"/>
        </w:rPr>
        <w:t xml:space="preserve"> à une mise en balance </w:t>
      </w:r>
      <w:r w:rsidR="005B12DE" w:rsidRPr="00E267AB">
        <w:rPr>
          <w:lang w:val="fr-FR"/>
        </w:rPr>
        <w:t xml:space="preserve">de tous les intérêts en jeu. Il </w:t>
      </w:r>
      <w:r w:rsidR="00E115C3" w:rsidRPr="00E267AB">
        <w:rPr>
          <w:lang w:val="fr-FR"/>
        </w:rPr>
        <w:t xml:space="preserve">invite la Cour à </w:t>
      </w:r>
      <w:r w:rsidR="005B12DE" w:rsidRPr="00E267AB">
        <w:rPr>
          <w:lang w:val="fr-FR"/>
        </w:rPr>
        <w:t xml:space="preserve">rejeter la requête </w:t>
      </w:r>
      <w:r w:rsidR="00E115C3" w:rsidRPr="00E267AB">
        <w:rPr>
          <w:lang w:val="fr-FR"/>
        </w:rPr>
        <w:t xml:space="preserve">comme </w:t>
      </w:r>
      <w:r w:rsidR="005B12DE" w:rsidRPr="00E267AB">
        <w:rPr>
          <w:lang w:val="fr-FR"/>
        </w:rPr>
        <w:t>étant manifestement mal fondée.</w:t>
      </w:r>
    </w:p>
    <w:p w:rsidR="00B9316A" w:rsidRPr="00E267AB" w:rsidRDefault="00B9316A" w:rsidP="00E267AB">
      <w:pPr>
        <w:pStyle w:val="ECHRHeading3"/>
        <w:rPr>
          <w:rFonts w:eastAsiaTheme="minorHAnsi"/>
          <w:i w:val="0"/>
          <w:lang w:val="fr-FR"/>
        </w:rPr>
      </w:pPr>
      <w:r w:rsidRPr="00E267AB">
        <w:rPr>
          <w:rFonts w:eastAsiaTheme="minorHAnsi"/>
          <w:lang w:val="fr-FR"/>
        </w:rPr>
        <w:t>2.  Appréciation de la Cour</w:t>
      </w:r>
    </w:p>
    <w:p w:rsidR="00B9316A" w:rsidRPr="00E267AB" w:rsidRDefault="0076710F" w:rsidP="00E267AB">
      <w:pPr>
        <w:pStyle w:val="ECHRHeading4"/>
        <w:rPr>
          <w:rFonts w:eastAsiaTheme="minorHAnsi"/>
          <w:lang w:val="fr-FR"/>
        </w:rPr>
      </w:pPr>
      <w:r w:rsidRPr="00E267AB">
        <w:rPr>
          <w:rFonts w:eastAsiaTheme="minorHAnsi"/>
          <w:lang w:val="fr-FR"/>
        </w:rPr>
        <w:t>a)  Principes généraux</w:t>
      </w:r>
    </w:p>
    <w:p w:rsidR="00B9316A" w:rsidRPr="00E267AB" w:rsidRDefault="00F77BDB"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110</w:t>
      </w:r>
      <w:r w:rsidRPr="00E267AB">
        <w:rPr>
          <w:lang w:val="fr-FR"/>
        </w:rPr>
        <w:fldChar w:fldCharType="end"/>
      </w:r>
      <w:r w:rsidR="00404ADA" w:rsidRPr="00E267AB">
        <w:rPr>
          <w:lang w:val="fr-FR"/>
        </w:rPr>
        <w:t>.  </w:t>
      </w:r>
      <w:r w:rsidR="00B9316A" w:rsidRPr="00E267AB">
        <w:rPr>
          <w:lang w:val="fr-FR"/>
        </w:rPr>
        <w:t>Comme la Cour l</w:t>
      </w:r>
      <w:r w:rsidR="00E267AB" w:rsidRPr="00E267AB">
        <w:rPr>
          <w:lang w:val="fr-FR"/>
        </w:rPr>
        <w:t>’</w:t>
      </w:r>
      <w:r w:rsidR="00B9316A" w:rsidRPr="00E267AB">
        <w:rPr>
          <w:lang w:val="fr-FR"/>
        </w:rPr>
        <w:t>a rappelé à maintes reprises, si l</w:t>
      </w:r>
      <w:r w:rsidR="00E267AB" w:rsidRPr="00E267AB">
        <w:rPr>
          <w:lang w:val="fr-FR"/>
        </w:rPr>
        <w:t>’</w:t>
      </w:r>
      <w:r w:rsidR="00B9316A" w:rsidRPr="00E267AB">
        <w:rPr>
          <w:lang w:val="fr-FR"/>
        </w:rPr>
        <w:t>article 8 de la Convention a essentiellement pour objet de prémunir l</w:t>
      </w:r>
      <w:r w:rsidR="00E267AB" w:rsidRPr="00E267AB">
        <w:rPr>
          <w:lang w:val="fr-FR"/>
        </w:rPr>
        <w:t>’</w:t>
      </w:r>
      <w:r w:rsidR="00B9316A" w:rsidRPr="00E267AB">
        <w:rPr>
          <w:lang w:val="fr-FR"/>
        </w:rPr>
        <w:t>individu contre les ingérences arbitraires des pouvoirs publics, il ne se contente pas de commander à l</w:t>
      </w:r>
      <w:r w:rsidR="00E267AB" w:rsidRPr="00E267AB">
        <w:rPr>
          <w:lang w:val="fr-FR"/>
        </w:rPr>
        <w:t>’</w:t>
      </w:r>
      <w:r w:rsidR="00B9316A" w:rsidRPr="00E267AB">
        <w:rPr>
          <w:lang w:val="fr-FR"/>
        </w:rPr>
        <w:t>État de s</w:t>
      </w:r>
      <w:r w:rsidR="00E267AB" w:rsidRPr="00E267AB">
        <w:rPr>
          <w:lang w:val="fr-FR"/>
        </w:rPr>
        <w:t>’</w:t>
      </w:r>
      <w:r w:rsidR="00B9316A" w:rsidRPr="00E267AB">
        <w:rPr>
          <w:lang w:val="fr-FR"/>
        </w:rPr>
        <w:t>abstenir de pareilles ingérences : à cet engagement plutôt négatif peuvent s</w:t>
      </w:r>
      <w:r w:rsidR="00E267AB" w:rsidRPr="00E267AB">
        <w:rPr>
          <w:lang w:val="fr-FR"/>
        </w:rPr>
        <w:t>’</w:t>
      </w:r>
      <w:r w:rsidR="00B9316A" w:rsidRPr="00E267AB">
        <w:rPr>
          <w:lang w:val="fr-FR"/>
        </w:rPr>
        <w:t xml:space="preserve">ajouter des obligations positives inhérentes à un respect effectif de la vie privée ou familiale. </w:t>
      </w:r>
      <w:r w:rsidR="00AC4767" w:rsidRPr="00E267AB">
        <w:rPr>
          <w:lang w:val="fr-FR"/>
        </w:rPr>
        <w:t>Ce</w:t>
      </w:r>
      <w:r w:rsidR="00B9316A" w:rsidRPr="00E267AB">
        <w:rPr>
          <w:lang w:val="fr-FR"/>
        </w:rPr>
        <w:t>lles</w:t>
      </w:r>
      <w:r w:rsidR="00AC4767" w:rsidRPr="00E267AB">
        <w:rPr>
          <w:lang w:val="fr-FR"/>
        </w:rPr>
        <w:t>-ci</w:t>
      </w:r>
      <w:r w:rsidR="00B9316A" w:rsidRPr="00E267AB">
        <w:rPr>
          <w:lang w:val="fr-FR"/>
        </w:rPr>
        <w:t xml:space="preserve"> peuvent impliquer l</w:t>
      </w:r>
      <w:r w:rsidR="00E267AB" w:rsidRPr="00E267AB">
        <w:rPr>
          <w:lang w:val="fr-FR"/>
        </w:rPr>
        <w:t>’</w:t>
      </w:r>
      <w:r w:rsidR="00B9316A" w:rsidRPr="00E267AB">
        <w:rPr>
          <w:lang w:val="fr-FR"/>
        </w:rPr>
        <w:t>adoption de mesures visant au respect de la vie familiale jusque dans les relations des individus entre eux, dont la mise en place d</w:t>
      </w:r>
      <w:r w:rsidR="00E267AB" w:rsidRPr="00E267AB">
        <w:rPr>
          <w:lang w:val="fr-FR"/>
        </w:rPr>
        <w:t>’</w:t>
      </w:r>
      <w:r w:rsidR="00B9316A" w:rsidRPr="00E267AB">
        <w:rPr>
          <w:lang w:val="fr-FR"/>
        </w:rPr>
        <w:t xml:space="preserve">un arsenal </w:t>
      </w:r>
      <w:r w:rsidR="00B9316A" w:rsidRPr="00E267AB">
        <w:rPr>
          <w:lang w:val="fr-FR"/>
        </w:rPr>
        <w:lastRenderedPageBreak/>
        <w:t xml:space="preserve">juridique adéquat et suffisant pour assurer les droits légitimes des intéressés ainsi que le respect des décisions judiciaires, ou des mesures spécifiques appropriées (voir, </w:t>
      </w:r>
      <w:r w:rsidR="00B9316A" w:rsidRPr="00E267AB">
        <w:rPr>
          <w:i/>
          <w:lang w:val="fr-FR"/>
        </w:rPr>
        <w:t>mutatis mutandis</w:t>
      </w:r>
      <w:r w:rsidR="00B9316A" w:rsidRPr="00E267AB">
        <w:rPr>
          <w:lang w:val="fr-FR"/>
        </w:rPr>
        <w:t xml:space="preserve">, </w:t>
      </w:r>
      <w:r w:rsidR="00B9316A" w:rsidRPr="00E267AB">
        <w:rPr>
          <w:i/>
          <w:lang w:val="fr-FR"/>
        </w:rPr>
        <w:t>Zawadka c. Pologne</w:t>
      </w:r>
      <w:r w:rsidR="00B9316A" w:rsidRPr="00E267AB">
        <w:rPr>
          <w:lang w:val="fr-FR"/>
        </w:rPr>
        <w:t xml:space="preserve">, nº </w:t>
      </w:r>
      <w:hyperlink r:id="rId17" w:anchor="%7B%22appno%22:%5B%2248542/99%22%5D%7D" w:tgtFrame="_blank" w:history="1">
        <w:r w:rsidR="00B9316A" w:rsidRPr="00E267AB">
          <w:rPr>
            <w:rStyle w:val="Collegamentoipertestuale"/>
            <w:color w:val="auto"/>
            <w:u w:val="none"/>
            <w:lang w:val="fr-FR"/>
          </w:rPr>
          <w:t>48542/99</w:t>
        </w:r>
      </w:hyperlink>
      <w:r w:rsidR="00B9316A" w:rsidRPr="00E267AB">
        <w:rPr>
          <w:lang w:val="fr-FR"/>
        </w:rPr>
        <w:t>, §</w:t>
      </w:r>
      <w:r w:rsidR="00AC4767" w:rsidRPr="00E267AB">
        <w:rPr>
          <w:lang w:val="fr-FR"/>
        </w:rPr>
        <w:t> </w:t>
      </w:r>
      <w:r w:rsidR="00B9316A" w:rsidRPr="00E267AB">
        <w:rPr>
          <w:lang w:val="fr-FR"/>
        </w:rPr>
        <w:t>53, 23 juin 2005). Cet arsenal doit permettre à l</w:t>
      </w:r>
      <w:r w:rsidR="00E267AB" w:rsidRPr="00E267AB">
        <w:rPr>
          <w:lang w:val="fr-FR"/>
        </w:rPr>
        <w:t>’</w:t>
      </w:r>
      <w:r w:rsidR="00B9316A" w:rsidRPr="00E267AB">
        <w:rPr>
          <w:lang w:val="fr-FR"/>
        </w:rPr>
        <w:t>État d</w:t>
      </w:r>
      <w:r w:rsidR="00E267AB" w:rsidRPr="00E267AB">
        <w:rPr>
          <w:lang w:val="fr-FR"/>
        </w:rPr>
        <w:t>’</w:t>
      </w:r>
      <w:r w:rsidR="00B9316A" w:rsidRPr="00E267AB">
        <w:rPr>
          <w:lang w:val="fr-FR"/>
        </w:rPr>
        <w:t xml:space="preserve">adopter des mesures propres à réunir le parent et son enfant, y compris en cas de conflit opposant les deux parents (voir, </w:t>
      </w:r>
      <w:r w:rsidR="00B9316A" w:rsidRPr="00E267AB">
        <w:rPr>
          <w:i/>
          <w:lang w:val="fr-FR"/>
        </w:rPr>
        <w:t>mutatis mutandis</w:t>
      </w:r>
      <w:r w:rsidR="00B9316A" w:rsidRPr="00E267AB">
        <w:rPr>
          <w:lang w:val="fr-FR"/>
        </w:rPr>
        <w:t xml:space="preserve">, </w:t>
      </w:r>
      <w:r w:rsidR="00B9316A" w:rsidRPr="00E267AB">
        <w:rPr>
          <w:i/>
          <w:lang w:val="fr-FR"/>
        </w:rPr>
        <w:t>Ignaccolo-Zenide c.</w:t>
      </w:r>
      <w:r w:rsidR="00AC4767" w:rsidRPr="00E267AB">
        <w:rPr>
          <w:i/>
          <w:lang w:val="fr-FR"/>
        </w:rPr>
        <w:t> </w:t>
      </w:r>
      <w:r w:rsidR="00B9316A" w:rsidRPr="00E267AB">
        <w:rPr>
          <w:i/>
          <w:lang w:val="fr-FR"/>
        </w:rPr>
        <w:t>Roumanie</w:t>
      </w:r>
      <w:r w:rsidR="00B9316A" w:rsidRPr="00E267AB">
        <w:rPr>
          <w:lang w:val="fr-FR"/>
        </w:rPr>
        <w:t xml:space="preserve">, </w:t>
      </w:r>
      <w:r w:rsidR="00FF6F57" w:rsidRPr="00E267AB">
        <w:rPr>
          <w:lang w:val="fr-FR"/>
        </w:rPr>
        <w:t xml:space="preserve">nº </w:t>
      </w:r>
      <w:hyperlink r:id="rId18" w:anchor="%7B%22appno%22:%5B%2231679/96%22%5D%7D" w:tgtFrame="_blank" w:history="1">
        <w:r w:rsidR="00B9316A" w:rsidRPr="00E267AB">
          <w:rPr>
            <w:rStyle w:val="Collegamentoipertestuale"/>
            <w:color w:val="auto"/>
            <w:u w:val="none"/>
            <w:lang w:val="fr-FR"/>
          </w:rPr>
          <w:t>31679/96</w:t>
        </w:r>
      </w:hyperlink>
      <w:r w:rsidR="00B9316A" w:rsidRPr="00E267AB">
        <w:rPr>
          <w:lang w:val="fr-FR"/>
        </w:rPr>
        <w:t>, § 108, CEDH 2000</w:t>
      </w:r>
      <w:r w:rsidR="00B9316A" w:rsidRPr="00E267AB">
        <w:rPr>
          <w:lang w:val="fr-FR"/>
        </w:rPr>
        <w:noBreakHyphen/>
        <w:t xml:space="preserve">I, </w:t>
      </w:r>
      <w:r w:rsidR="00B9316A" w:rsidRPr="00E267AB">
        <w:rPr>
          <w:i/>
          <w:lang w:val="fr-FR"/>
        </w:rPr>
        <w:t>Sylvester c. Autriche,</w:t>
      </w:r>
      <w:r w:rsidR="00B9316A" w:rsidRPr="00E267AB">
        <w:rPr>
          <w:lang w:val="fr-FR"/>
        </w:rPr>
        <w:t xml:space="preserve"> n</w:t>
      </w:r>
      <w:r w:rsidR="00B9316A" w:rsidRPr="00E267AB">
        <w:rPr>
          <w:vertAlign w:val="superscript"/>
          <w:lang w:val="fr-FR"/>
        </w:rPr>
        <w:t>os</w:t>
      </w:r>
      <w:r w:rsidR="00AC4767" w:rsidRPr="00E267AB">
        <w:rPr>
          <w:vertAlign w:val="superscript"/>
          <w:lang w:val="fr-FR"/>
        </w:rPr>
        <w:t> </w:t>
      </w:r>
      <w:hyperlink r:id="rId19" w:anchor="%7B%22appno%22:%5B%2236812/97%22%5D%7D" w:tgtFrame="_blank" w:history="1">
        <w:r w:rsidR="00B9316A" w:rsidRPr="00E267AB">
          <w:rPr>
            <w:rStyle w:val="Collegamentoipertestuale"/>
            <w:color w:val="auto"/>
            <w:u w:val="none"/>
            <w:lang w:val="fr-FR"/>
          </w:rPr>
          <w:t>36812/97</w:t>
        </w:r>
      </w:hyperlink>
      <w:r w:rsidR="00B9316A" w:rsidRPr="00E267AB">
        <w:rPr>
          <w:lang w:val="fr-FR"/>
        </w:rPr>
        <w:t xml:space="preserve"> et </w:t>
      </w:r>
      <w:hyperlink r:id="rId20" w:anchor="%7B%22appno%22:%5B%2240104/98%22%5D%7D" w:tgtFrame="_blank" w:history="1">
        <w:r w:rsidR="00B9316A" w:rsidRPr="00E267AB">
          <w:rPr>
            <w:rStyle w:val="Collegamentoipertestuale"/>
            <w:color w:val="auto"/>
            <w:u w:val="none"/>
            <w:lang w:val="fr-FR"/>
          </w:rPr>
          <w:t>40104/98</w:t>
        </w:r>
      </w:hyperlink>
      <w:r w:rsidR="00B9316A" w:rsidRPr="00E267AB">
        <w:rPr>
          <w:lang w:val="fr-FR"/>
        </w:rPr>
        <w:t xml:space="preserve">, § 68, 24 avril 2003, </w:t>
      </w:r>
      <w:r w:rsidR="00B9316A" w:rsidRPr="00E267AB">
        <w:rPr>
          <w:i/>
          <w:lang w:val="fr-FR"/>
        </w:rPr>
        <w:t>Zavřel c. République tchèque</w:t>
      </w:r>
      <w:r w:rsidR="00B9316A" w:rsidRPr="00E267AB">
        <w:rPr>
          <w:lang w:val="fr-FR"/>
        </w:rPr>
        <w:t xml:space="preserve">, </w:t>
      </w:r>
      <w:r w:rsidR="00FF6F57" w:rsidRPr="00E267AB">
        <w:rPr>
          <w:lang w:val="fr-FR"/>
        </w:rPr>
        <w:t xml:space="preserve">nº </w:t>
      </w:r>
      <w:hyperlink r:id="rId21" w:anchor="%7B%22appno%22:%5B%2214044/05%22%5D%7D" w:tgtFrame="_blank" w:history="1">
        <w:r w:rsidR="00B9316A" w:rsidRPr="00E267AB">
          <w:rPr>
            <w:rStyle w:val="Collegamentoipertestuale"/>
            <w:color w:val="auto"/>
            <w:u w:val="none"/>
            <w:lang w:val="fr-FR"/>
          </w:rPr>
          <w:t>14044/05</w:t>
        </w:r>
      </w:hyperlink>
      <w:r w:rsidR="00B9316A" w:rsidRPr="00E267AB">
        <w:rPr>
          <w:lang w:val="fr-FR"/>
        </w:rPr>
        <w:t xml:space="preserve">, § 47, 18 janvier 2007, et </w:t>
      </w:r>
      <w:r w:rsidR="00B9316A" w:rsidRPr="00E267AB">
        <w:rPr>
          <w:i/>
          <w:lang w:val="fr-FR"/>
        </w:rPr>
        <w:t>Mihailova c. Bulgarie</w:t>
      </w:r>
      <w:r w:rsidR="00B9316A" w:rsidRPr="00E267AB">
        <w:rPr>
          <w:lang w:val="fr-FR"/>
        </w:rPr>
        <w:t>, n</w:t>
      </w:r>
      <w:r w:rsidR="00B9316A" w:rsidRPr="00E267AB">
        <w:rPr>
          <w:vertAlign w:val="superscript"/>
          <w:lang w:val="fr-FR"/>
        </w:rPr>
        <w:t>o</w:t>
      </w:r>
      <w:r w:rsidR="00B9316A" w:rsidRPr="00E267AB">
        <w:rPr>
          <w:lang w:val="fr-FR"/>
        </w:rPr>
        <w:t xml:space="preserve"> </w:t>
      </w:r>
      <w:hyperlink r:id="rId22" w:anchor="%7B%22appno%22:%5B%2235978/02%22%5D%7D" w:tgtFrame="_blank" w:history="1">
        <w:r w:rsidR="00B9316A" w:rsidRPr="00E267AB">
          <w:rPr>
            <w:rStyle w:val="Collegamentoipertestuale"/>
            <w:color w:val="auto"/>
            <w:u w:val="none"/>
            <w:lang w:val="fr-FR"/>
          </w:rPr>
          <w:t>35978/02</w:t>
        </w:r>
      </w:hyperlink>
      <w:r w:rsidR="00B9316A" w:rsidRPr="00E267AB">
        <w:rPr>
          <w:lang w:val="fr-FR"/>
        </w:rPr>
        <w:t>, §</w:t>
      </w:r>
      <w:r w:rsidR="00AC4767" w:rsidRPr="00E267AB">
        <w:rPr>
          <w:lang w:val="fr-FR"/>
        </w:rPr>
        <w:t> </w:t>
      </w:r>
      <w:r w:rsidR="00B9316A" w:rsidRPr="00E267AB">
        <w:rPr>
          <w:lang w:val="fr-FR"/>
        </w:rPr>
        <w:t xml:space="preserve">80, 12 janvier 2006). </w:t>
      </w:r>
      <w:r w:rsidR="003F7A06" w:rsidRPr="00E267AB">
        <w:rPr>
          <w:lang w:val="fr-FR"/>
        </w:rPr>
        <w:t>La Cour</w:t>
      </w:r>
      <w:r w:rsidR="00B9316A" w:rsidRPr="00E267AB">
        <w:rPr>
          <w:lang w:val="fr-FR"/>
        </w:rPr>
        <w:t xml:space="preserve"> rappelle aussi que les obligations positives ne se limitent pas à veiller à ce que l</w:t>
      </w:r>
      <w:r w:rsidR="00E267AB" w:rsidRPr="00E267AB">
        <w:rPr>
          <w:lang w:val="fr-FR"/>
        </w:rPr>
        <w:t>’</w:t>
      </w:r>
      <w:r w:rsidR="00B9316A" w:rsidRPr="00E267AB">
        <w:rPr>
          <w:lang w:val="fr-FR"/>
        </w:rPr>
        <w:t>enfant puisse rejoindre son parent ou avoir un contact avec lui, mais qu</w:t>
      </w:r>
      <w:r w:rsidR="00E267AB" w:rsidRPr="00E267AB">
        <w:rPr>
          <w:lang w:val="fr-FR"/>
        </w:rPr>
        <w:t>’</w:t>
      </w:r>
      <w:r w:rsidR="00B9316A" w:rsidRPr="00E267AB">
        <w:rPr>
          <w:lang w:val="fr-FR"/>
        </w:rPr>
        <w:t>elles englobent également l</w:t>
      </w:r>
      <w:r w:rsidR="00E267AB" w:rsidRPr="00E267AB">
        <w:rPr>
          <w:lang w:val="fr-FR"/>
        </w:rPr>
        <w:t>’</w:t>
      </w:r>
      <w:r w:rsidR="00B9316A" w:rsidRPr="00E267AB">
        <w:rPr>
          <w:lang w:val="fr-FR"/>
        </w:rPr>
        <w:t xml:space="preserve">ensemble des mesures préparatoires permettant de parvenir à ce résultat (voir, </w:t>
      </w:r>
      <w:r w:rsidR="00B9316A" w:rsidRPr="00E267AB">
        <w:rPr>
          <w:i/>
          <w:lang w:val="fr-FR"/>
        </w:rPr>
        <w:t>mutatis mutandis</w:t>
      </w:r>
      <w:r w:rsidR="00B9316A" w:rsidRPr="00E267AB">
        <w:rPr>
          <w:lang w:val="fr-FR"/>
        </w:rPr>
        <w:t xml:space="preserve">, </w:t>
      </w:r>
      <w:r w:rsidR="00B9316A" w:rsidRPr="00E267AB">
        <w:rPr>
          <w:i/>
          <w:lang w:val="fr-FR"/>
        </w:rPr>
        <w:t>Kosmopoulou c. Grèce,</w:t>
      </w:r>
      <w:r w:rsidR="00B9316A" w:rsidRPr="00E267AB">
        <w:rPr>
          <w:lang w:val="fr-FR"/>
        </w:rPr>
        <w:t xml:space="preserve"> </w:t>
      </w:r>
      <w:r w:rsidR="00FF6F57" w:rsidRPr="00E267AB">
        <w:rPr>
          <w:lang w:val="fr-FR"/>
        </w:rPr>
        <w:t>nº</w:t>
      </w:r>
      <w:r w:rsidR="00B9316A" w:rsidRPr="00E267AB">
        <w:rPr>
          <w:lang w:val="fr-FR"/>
        </w:rPr>
        <w:t xml:space="preserve"> </w:t>
      </w:r>
      <w:hyperlink r:id="rId23" w:anchor="%7B%22appno%22:%5B%2260457/00%22%5D%7D" w:tgtFrame="_blank" w:history="1">
        <w:r w:rsidR="00B9316A" w:rsidRPr="00E267AB">
          <w:rPr>
            <w:rStyle w:val="Collegamentoipertestuale"/>
            <w:color w:val="auto"/>
            <w:u w:val="none"/>
            <w:lang w:val="fr-FR"/>
          </w:rPr>
          <w:t>60457/00</w:t>
        </w:r>
      </w:hyperlink>
      <w:r w:rsidR="00B9316A" w:rsidRPr="00E267AB">
        <w:rPr>
          <w:lang w:val="fr-FR"/>
        </w:rPr>
        <w:t xml:space="preserve">, § 45, 5 février 2004, </w:t>
      </w:r>
      <w:r w:rsidR="00B9316A" w:rsidRPr="00E267AB">
        <w:rPr>
          <w:i/>
          <w:lang w:val="fr-FR"/>
        </w:rPr>
        <w:t>Amanalachioai c. Roumanie</w:t>
      </w:r>
      <w:r w:rsidR="00B9316A" w:rsidRPr="00E267AB">
        <w:rPr>
          <w:lang w:val="fr-FR"/>
        </w:rPr>
        <w:t>, n</w:t>
      </w:r>
      <w:r w:rsidR="00B9316A" w:rsidRPr="00E267AB">
        <w:rPr>
          <w:vertAlign w:val="superscript"/>
          <w:lang w:val="fr-FR"/>
        </w:rPr>
        <w:t>o</w:t>
      </w:r>
      <w:r w:rsidR="00B9316A" w:rsidRPr="00E267AB">
        <w:rPr>
          <w:lang w:val="fr-FR"/>
        </w:rPr>
        <w:t xml:space="preserve"> </w:t>
      </w:r>
      <w:hyperlink r:id="rId24" w:anchor="%7B%22appno%22:%5B%224023/04%22%5D%7D" w:tgtFrame="_blank" w:history="1">
        <w:r w:rsidR="00B9316A" w:rsidRPr="00E267AB">
          <w:rPr>
            <w:rStyle w:val="Collegamentoipertestuale"/>
            <w:color w:val="auto"/>
            <w:u w:val="none"/>
            <w:lang w:val="fr-FR"/>
          </w:rPr>
          <w:t>4023/04</w:t>
        </w:r>
      </w:hyperlink>
      <w:r w:rsidR="00B9316A" w:rsidRPr="00E267AB">
        <w:rPr>
          <w:lang w:val="fr-FR"/>
        </w:rPr>
        <w:t xml:space="preserve">, § 95, 26 mai 2009, </w:t>
      </w:r>
      <w:r w:rsidR="00B9316A" w:rsidRPr="00E267AB">
        <w:rPr>
          <w:i/>
          <w:lang w:val="fr-FR"/>
        </w:rPr>
        <w:t>Ignaccolo</w:t>
      </w:r>
      <w:r w:rsidR="00AC4767" w:rsidRPr="00E267AB">
        <w:rPr>
          <w:i/>
          <w:lang w:val="fr-FR"/>
        </w:rPr>
        <w:noBreakHyphen/>
      </w:r>
      <w:r w:rsidR="00B9316A" w:rsidRPr="00E267AB">
        <w:rPr>
          <w:i/>
          <w:lang w:val="fr-FR"/>
        </w:rPr>
        <w:t>Zenide</w:t>
      </w:r>
      <w:r w:rsidR="00B9316A" w:rsidRPr="00E267AB">
        <w:rPr>
          <w:lang w:val="fr-FR"/>
        </w:rPr>
        <w:t>, précité, §§ 105 et 112, et Sylvester, précité, § 70).</w:t>
      </w:r>
    </w:p>
    <w:p w:rsidR="00C655C0" w:rsidRPr="00E267AB" w:rsidRDefault="00B9316A"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111</w:t>
      </w:r>
      <w:r w:rsidRPr="00E267AB">
        <w:rPr>
          <w:lang w:val="fr-FR"/>
        </w:rPr>
        <w:fldChar w:fldCharType="end"/>
      </w:r>
      <w:r w:rsidRPr="00E267AB">
        <w:rPr>
          <w:lang w:val="fr-FR"/>
        </w:rPr>
        <w:t>.  </w:t>
      </w:r>
      <w:r w:rsidR="00C655C0" w:rsidRPr="00E267AB">
        <w:rPr>
          <w:lang w:val="fr-FR"/>
        </w:rPr>
        <w:t xml:space="preserve">La Cour rappelle également que le fait que les efforts des autorités ont été vains ne mène pas automatiquement à la conclusion que </w:t>
      </w:r>
      <w:r w:rsidR="006F2C3C" w:rsidRPr="00E267AB">
        <w:rPr>
          <w:lang w:val="fr-FR"/>
        </w:rPr>
        <w:t>l</w:t>
      </w:r>
      <w:r w:rsidR="00E267AB" w:rsidRPr="00E267AB">
        <w:rPr>
          <w:lang w:val="fr-FR"/>
        </w:rPr>
        <w:t>’</w:t>
      </w:r>
      <w:r w:rsidR="006F2C3C" w:rsidRPr="00E267AB">
        <w:rPr>
          <w:lang w:val="fr-FR"/>
        </w:rPr>
        <w:t>État</w:t>
      </w:r>
      <w:r w:rsidR="00C655C0" w:rsidRPr="00E267AB">
        <w:rPr>
          <w:lang w:val="fr-FR"/>
        </w:rPr>
        <w:t xml:space="preserve"> a manqué aux obligations positives qui découlent pour lui de </w:t>
      </w:r>
      <w:r w:rsidR="006F2C3C" w:rsidRPr="00E267AB">
        <w:rPr>
          <w:lang w:val="fr-FR"/>
        </w:rPr>
        <w:t>l</w:t>
      </w:r>
      <w:r w:rsidR="00E267AB" w:rsidRPr="00E267AB">
        <w:rPr>
          <w:lang w:val="fr-FR"/>
        </w:rPr>
        <w:t>’</w:t>
      </w:r>
      <w:r w:rsidR="006F2C3C" w:rsidRPr="00E267AB">
        <w:rPr>
          <w:lang w:val="fr-FR"/>
        </w:rPr>
        <w:t>article</w:t>
      </w:r>
      <w:r w:rsidR="00C655C0" w:rsidRPr="00E267AB">
        <w:rPr>
          <w:lang w:val="fr-FR"/>
        </w:rPr>
        <w:t xml:space="preserve"> 8 de la Convention (</w:t>
      </w:r>
      <w:r w:rsidR="00C655C0" w:rsidRPr="00E267AB">
        <w:rPr>
          <w:i/>
          <w:iCs/>
          <w:lang w:val="fr-FR"/>
        </w:rPr>
        <w:t>Nicolò Santilli</w:t>
      </w:r>
      <w:r w:rsidR="0076710F" w:rsidRPr="00E267AB">
        <w:rPr>
          <w:i/>
          <w:iCs/>
          <w:lang w:val="fr-FR"/>
        </w:rPr>
        <w:t>,</w:t>
      </w:r>
      <w:r w:rsidR="00C655C0" w:rsidRPr="00E267AB">
        <w:rPr>
          <w:i/>
          <w:iCs/>
          <w:lang w:val="fr-FR"/>
        </w:rPr>
        <w:t xml:space="preserve"> </w:t>
      </w:r>
      <w:r w:rsidR="0076710F" w:rsidRPr="00E267AB">
        <w:rPr>
          <w:iCs/>
          <w:lang w:val="fr-FR"/>
        </w:rPr>
        <w:t>précité</w:t>
      </w:r>
      <w:r w:rsidR="00C541B0" w:rsidRPr="00E267AB">
        <w:rPr>
          <w:lang w:val="fr-FR"/>
        </w:rPr>
        <w:t xml:space="preserve"> § 67</w:t>
      </w:r>
      <w:r w:rsidR="00C655C0" w:rsidRPr="00E267AB">
        <w:rPr>
          <w:lang w:val="fr-FR"/>
        </w:rPr>
        <w:t xml:space="preserve">). En effet, </w:t>
      </w:r>
      <w:r w:rsidR="00C541B0" w:rsidRPr="00E267AB">
        <w:rPr>
          <w:lang w:val="fr-FR"/>
        </w:rPr>
        <w:t>l</w:t>
      </w:r>
      <w:r w:rsidR="00E267AB" w:rsidRPr="00E267AB">
        <w:rPr>
          <w:lang w:val="fr-FR"/>
        </w:rPr>
        <w:t>’</w:t>
      </w:r>
      <w:r w:rsidR="00C541B0" w:rsidRPr="00E267AB">
        <w:rPr>
          <w:lang w:val="fr-FR"/>
        </w:rPr>
        <w:t>obligation</w:t>
      </w:r>
      <w:r w:rsidR="00C655C0" w:rsidRPr="00E267AB">
        <w:rPr>
          <w:lang w:val="fr-FR"/>
        </w:rPr>
        <w:t xml:space="preserve"> pour les autorités nationales de prendre des mesures afin de réunir </w:t>
      </w:r>
      <w:r w:rsidR="00C541B0" w:rsidRPr="00E267AB">
        <w:rPr>
          <w:lang w:val="fr-FR"/>
        </w:rPr>
        <w:t>l</w:t>
      </w:r>
      <w:r w:rsidR="00E267AB" w:rsidRPr="00E267AB">
        <w:rPr>
          <w:lang w:val="fr-FR"/>
        </w:rPr>
        <w:t>’</w:t>
      </w:r>
      <w:r w:rsidR="00C541B0" w:rsidRPr="00E267AB">
        <w:rPr>
          <w:lang w:val="fr-FR"/>
        </w:rPr>
        <w:t>enfant</w:t>
      </w:r>
      <w:r w:rsidR="00C655C0" w:rsidRPr="00E267AB">
        <w:rPr>
          <w:lang w:val="fr-FR"/>
        </w:rPr>
        <w:t xml:space="preserve"> et le parent avec lequel il ne vit pas </w:t>
      </w:r>
      <w:r w:rsidR="00C541B0" w:rsidRPr="00E267AB">
        <w:rPr>
          <w:lang w:val="fr-FR"/>
        </w:rPr>
        <w:t>n</w:t>
      </w:r>
      <w:r w:rsidR="00E267AB" w:rsidRPr="00E267AB">
        <w:rPr>
          <w:lang w:val="fr-FR"/>
        </w:rPr>
        <w:t>’</w:t>
      </w:r>
      <w:r w:rsidR="00C541B0" w:rsidRPr="00E267AB">
        <w:rPr>
          <w:lang w:val="fr-FR"/>
        </w:rPr>
        <w:t>est</w:t>
      </w:r>
      <w:r w:rsidR="00C655C0" w:rsidRPr="00E267AB">
        <w:rPr>
          <w:lang w:val="fr-FR"/>
        </w:rPr>
        <w:t xml:space="preserve"> pas absolue, et la compréhension et la coopération de </w:t>
      </w:r>
      <w:r w:rsidR="00C541B0" w:rsidRPr="00E267AB">
        <w:rPr>
          <w:lang w:val="fr-FR"/>
        </w:rPr>
        <w:t>l</w:t>
      </w:r>
      <w:r w:rsidR="00E267AB" w:rsidRPr="00E267AB">
        <w:rPr>
          <w:lang w:val="fr-FR"/>
        </w:rPr>
        <w:t>’</w:t>
      </w:r>
      <w:r w:rsidR="00C541B0" w:rsidRPr="00E267AB">
        <w:rPr>
          <w:lang w:val="fr-FR"/>
        </w:rPr>
        <w:t>ensemble</w:t>
      </w:r>
      <w:r w:rsidR="00C655C0" w:rsidRPr="00E267AB">
        <w:rPr>
          <w:lang w:val="fr-FR"/>
        </w:rPr>
        <w:t xml:space="preserve"> des personnes concernées constituent toujours un facteur important. Si les autorités nationales doivent </w:t>
      </w:r>
      <w:r w:rsidR="00C541B0" w:rsidRPr="00E267AB">
        <w:rPr>
          <w:lang w:val="fr-FR"/>
        </w:rPr>
        <w:t>s</w:t>
      </w:r>
      <w:r w:rsidR="00E267AB" w:rsidRPr="00E267AB">
        <w:rPr>
          <w:lang w:val="fr-FR"/>
        </w:rPr>
        <w:t>’</w:t>
      </w:r>
      <w:r w:rsidR="00C541B0" w:rsidRPr="00E267AB">
        <w:rPr>
          <w:lang w:val="fr-FR"/>
        </w:rPr>
        <w:t>efforcer</w:t>
      </w:r>
      <w:r w:rsidR="00C655C0" w:rsidRPr="00E267AB">
        <w:rPr>
          <w:lang w:val="fr-FR"/>
        </w:rPr>
        <w:t xml:space="preserve"> de faciliter pareille collaboration, une obligation pour elles de recourir à la coercition en la matière ne saurait être que limitée : il leur faut tenir compte des intérêts et des droits et libertés de ces mêmes personnes, et notamment des intérêts supérieurs de </w:t>
      </w:r>
      <w:r w:rsidR="00C541B0" w:rsidRPr="00E267AB">
        <w:rPr>
          <w:lang w:val="fr-FR"/>
        </w:rPr>
        <w:t>l</w:t>
      </w:r>
      <w:r w:rsidR="00E267AB" w:rsidRPr="00E267AB">
        <w:rPr>
          <w:lang w:val="fr-FR"/>
        </w:rPr>
        <w:t>’</w:t>
      </w:r>
      <w:r w:rsidR="00C541B0" w:rsidRPr="00E267AB">
        <w:rPr>
          <w:lang w:val="fr-FR"/>
        </w:rPr>
        <w:t>enfant</w:t>
      </w:r>
      <w:r w:rsidR="00C655C0" w:rsidRPr="00E267AB">
        <w:rPr>
          <w:lang w:val="fr-FR"/>
        </w:rPr>
        <w:t xml:space="preserve"> et des droits que confère </w:t>
      </w:r>
      <w:r w:rsidR="00C541B0" w:rsidRPr="00E267AB">
        <w:rPr>
          <w:lang w:val="fr-FR"/>
        </w:rPr>
        <w:t>l</w:t>
      </w:r>
      <w:r w:rsidR="00E267AB" w:rsidRPr="00E267AB">
        <w:rPr>
          <w:lang w:val="fr-FR"/>
        </w:rPr>
        <w:t>’</w:t>
      </w:r>
      <w:r w:rsidR="00C541B0" w:rsidRPr="00E267AB">
        <w:rPr>
          <w:lang w:val="fr-FR"/>
        </w:rPr>
        <w:t>article</w:t>
      </w:r>
      <w:r w:rsidR="00C655C0" w:rsidRPr="00E267AB">
        <w:rPr>
          <w:lang w:val="fr-FR"/>
        </w:rPr>
        <w:t xml:space="preserve"> 8 de la Convention </w:t>
      </w:r>
      <w:r w:rsidR="003F7A06" w:rsidRPr="00E267AB">
        <w:rPr>
          <w:lang w:val="fr-FR"/>
        </w:rPr>
        <w:t xml:space="preserve">à celui-ci </w:t>
      </w:r>
      <w:r w:rsidR="00C655C0" w:rsidRPr="00E267AB">
        <w:rPr>
          <w:lang w:val="fr-FR"/>
        </w:rPr>
        <w:t>(</w:t>
      </w:r>
      <w:r w:rsidR="003C18F4" w:rsidRPr="00E267AB">
        <w:rPr>
          <w:i/>
          <w:lang w:val="fr-FR"/>
        </w:rPr>
        <w:t>Voleský c. République tchèque</w:t>
      </w:r>
      <w:r w:rsidR="003C18F4" w:rsidRPr="00E267AB">
        <w:rPr>
          <w:lang w:val="fr-FR"/>
        </w:rPr>
        <w:t>, n</w:t>
      </w:r>
      <w:r w:rsidR="003C18F4" w:rsidRPr="00E267AB">
        <w:rPr>
          <w:vertAlign w:val="superscript"/>
          <w:lang w:val="fr-FR"/>
        </w:rPr>
        <w:t>o</w:t>
      </w:r>
      <w:r w:rsidR="003C18F4" w:rsidRPr="00E267AB">
        <w:rPr>
          <w:lang w:val="fr-FR"/>
        </w:rPr>
        <w:t xml:space="preserve"> 63267/00, § 118, 29 juin 2004</w:t>
      </w:r>
      <w:r w:rsidR="00C655C0" w:rsidRPr="00E267AB">
        <w:rPr>
          <w:lang w:val="fr-FR"/>
        </w:rPr>
        <w:t xml:space="preserve">). La plus grande prudence </w:t>
      </w:r>
      <w:r w:rsidR="006F2C3C" w:rsidRPr="00E267AB">
        <w:rPr>
          <w:lang w:val="fr-FR"/>
        </w:rPr>
        <w:t>s</w:t>
      </w:r>
      <w:r w:rsidR="00E267AB" w:rsidRPr="00E267AB">
        <w:rPr>
          <w:lang w:val="fr-FR"/>
        </w:rPr>
        <w:t>’</w:t>
      </w:r>
      <w:r w:rsidR="006F2C3C" w:rsidRPr="00E267AB">
        <w:rPr>
          <w:lang w:val="fr-FR"/>
        </w:rPr>
        <w:t>impose</w:t>
      </w:r>
      <w:r w:rsidR="00C655C0" w:rsidRPr="00E267AB">
        <w:rPr>
          <w:lang w:val="fr-FR"/>
        </w:rPr>
        <w:t xml:space="preserve"> lorsqu</w:t>
      </w:r>
      <w:r w:rsidR="00E267AB" w:rsidRPr="00E267AB">
        <w:rPr>
          <w:lang w:val="fr-FR"/>
        </w:rPr>
        <w:t>’</w:t>
      </w:r>
      <w:r w:rsidR="00C655C0" w:rsidRPr="00E267AB">
        <w:rPr>
          <w:lang w:val="fr-FR"/>
        </w:rPr>
        <w:t xml:space="preserve">il </w:t>
      </w:r>
      <w:r w:rsidR="00C541B0" w:rsidRPr="00E267AB">
        <w:rPr>
          <w:lang w:val="fr-FR"/>
        </w:rPr>
        <w:t>s</w:t>
      </w:r>
      <w:r w:rsidR="00E267AB" w:rsidRPr="00E267AB">
        <w:rPr>
          <w:lang w:val="fr-FR"/>
        </w:rPr>
        <w:t>’</w:t>
      </w:r>
      <w:r w:rsidR="00C541B0" w:rsidRPr="00E267AB">
        <w:rPr>
          <w:lang w:val="fr-FR"/>
        </w:rPr>
        <w:t>agit</w:t>
      </w:r>
      <w:r w:rsidR="00C655C0" w:rsidRPr="00E267AB">
        <w:rPr>
          <w:lang w:val="fr-FR"/>
        </w:rPr>
        <w:t xml:space="preserve"> de recourir à la coercition en ce domaine délicat (</w:t>
      </w:r>
      <w:r w:rsidR="000402F5" w:rsidRPr="00E267AB">
        <w:rPr>
          <w:rFonts w:ascii="Times New Roman" w:eastAsia="Times New Roman" w:hAnsi="Times New Roman" w:cs="Times New Roman"/>
          <w:i/>
          <w:iCs/>
          <w:color w:val="000000"/>
          <w:lang w:val="fr-FR"/>
        </w:rPr>
        <w:t>Mitrova et Savik</w:t>
      </w:r>
      <w:r w:rsidR="000402F5" w:rsidRPr="00E267AB">
        <w:rPr>
          <w:rFonts w:ascii="Times New Roman" w:eastAsia="Times New Roman" w:hAnsi="Times New Roman" w:cs="Times New Roman"/>
          <w:color w:val="000000"/>
          <w:lang w:val="fr-FR"/>
        </w:rPr>
        <w:t xml:space="preserve"> </w:t>
      </w:r>
      <w:r w:rsidR="000402F5" w:rsidRPr="00E267AB">
        <w:rPr>
          <w:rFonts w:ascii="Times New Roman" w:eastAsia="Times New Roman" w:hAnsi="Times New Roman" w:cs="Times New Roman"/>
          <w:i/>
          <w:iCs/>
          <w:color w:val="000000"/>
          <w:lang w:val="fr-FR"/>
        </w:rPr>
        <w:t>c. l</w:t>
      </w:r>
      <w:r w:rsidR="00E267AB" w:rsidRPr="00E267AB">
        <w:rPr>
          <w:rFonts w:ascii="Times New Roman" w:eastAsia="Times New Roman" w:hAnsi="Times New Roman" w:cs="Times New Roman"/>
          <w:i/>
          <w:iCs/>
          <w:color w:val="000000"/>
          <w:lang w:val="fr-FR"/>
        </w:rPr>
        <w:t>’</w:t>
      </w:r>
      <w:r w:rsidR="000402F5" w:rsidRPr="00E267AB">
        <w:rPr>
          <w:rFonts w:ascii="Times New Roman" w:eastAsia="Times New Roman" w:hAnsi="Times New Roman" w:cs="Times New Roman"/>
          <w:i/>
          <w:iCs/>
          <w:color w:val="000000"/>
          <w:lang w:val="fr-FR"/>
        </w:rPr>
        <w:t>ex-République yougoslave de Macédoine</w:t>
      </w:r>
      <w:r w:rsidR="000402F5" w:rsidRPr="00E267AB">
        <w:rPr>
          <w:rFonts w:ascii="Times New Roman" w:eastAsia="Times New Roman" w:hAnsi="Times New Roman" w:cs="Times New Roman"/>
          <w:color w:val="000000"/>
          <w:lang w:val="fr-FR"/>
        </w:rPr>
        <w:t xml:space="preserve">, </w:t>
      </w:r>
      <w:r w:rsidR="00E26FCD" w:rsidRPr="00E267AB">
        <w:rPr>
          <w:rFonts w:ascii="Times New Roman" w:eastAsia="Times New Roman" w:hAnsi="Times New Roman" w:cs="Times New Roman"/>
          <w:color w:val="000000"/>
          <w:lang w:val="fr-FR"/>
        </w:rPr>
        <w:t>n</w:t>
      </w:r>
      <w:r w:rsidR="003D32DC" w:rsidRPr="00E267AB">
        <w:rPr>
          <w:rFonts w:ascii="Times New Roman" w:eastAsia="Times New Roman" w:hAnsi="Times New Roman" w:cs="Times New Roman"/>
          <w:color w:val="000000"/>
          <w:vertAlign w:val="superscript"/>
          <w:lang w:val="fr-FR"/>
        </w:rPr>
        <w:t>o</w:t>
      </w:r>
      <w:r w:rsidR="00E26FCD" w:rsidRPr="00E267AB">
        <w:rPr>
          <w:rFonts w:ascii="Times New Roman" w:eastAsia="Times New Roman" w:hAnsi="Times New Roman" w:cs="Times New Roman"/>
          <w:color w:val="000000"/>
          <w:lang w:val="fr-FR"/>
        </w:rPr>
        <w:t xml:space="preserve"> 42534/09</w:t>
      </w:r>
      <w:r w:rsidR="000402F5" w:rsidRPr="00E267AB">
        <w:rPr>
          <w:rFonts w:ascii="Times New Roman" w:eastAsia="Times New Roman" w:hAnsi="Times New Roman" w:cs="Times New Roman"/>
          <w:color w:val="000000"/>
          <w:lang w:val="fr-FR"/>
        </w:rPr>
        <w:t xml:space="preserve">, § 77, 11 février 2016, </w:t>
      </w:r>
      <w:r w:rsidR="00C655C0" w:rsidRPr="00E267AB">
        <w:rPr>
          <w:i/>
          <w:iCs/>
          <w:lang w:val="fr-FR"/>
        </w:rPr>
        <w:t>Reigado Ramos c. Portugal</w:t>
      </w:r>
      <w:r w:rsidR="00C655C0" w:rsidRPr="00E267AB">
        <w:rPr>
          <w:lang w:val="fr-FR"/>
        </w:rPr>
        <w:t>, n</w:t>
      </w:r>
      <w:r w:rsidR="00C655C0" w:rsidRPr="00E267AB">
        <w:rPr>
          <w:vertAlign w:val="superscript"/>
          <w:lang w:val="fr-FR"/>
        </w:rPr>
        <w:t>o</w:t>
      </w:r>
      <w:r w:rsidR="00E75F33" w:rsidRPr="00E267AB">
        <w:rPr>
          <w:vertAlign w:val="superscript"/>
          <w:lang w:val="fr-FR"/>
        </w:rPr>
        <w:t> </w:t>
      </w:r>
      <w:r w:rsidR="00C655C0" w:rsidRPr="00E267AB">
        <w:rPr>
          <w:lang w:val="fr-FR"/>
        </w:rPr>
        <w:t>73229/01, § 53, 22</w:t>
      </w:r>
      <w:r w:rsidR="003C18F4" w:rsidRPr="00E267AB">
        <w:rPr>
          <w:lang w:val="fr-FR"/>
        </w:rPr>
        <w:t> </w:t>
      </w:r>
      <w:r w:rsidR="00C655C0" w:rsidRPr="00E267AB">
        <w:rPr>
          <w:lang w:val="fr-FR"/>
        </w:rPr>
        <w:t>novembre 2005). Le point décisif consiste donc à savoir si</w:t>
      </w:r>
      <w:r w:rsidR="003C18F4" w:rsidRPr="00E267AB">
        <w:rPr>
          <w:lang w:val="fr-FR"/>
        </w:rPr>
        <w:t>, en l</w:t>
      </w:r>
      <w:r w:rsidR="00E267AB" w:rsidRPr="00E267AB">
        <w:rPr>
          <w:lang w:val="fr-FR"/>
        </w:rPr>
        <w:t>’</w:t>
      </w:r>
      <w:r w:rsidR="003C18F4" w:rsidRPr="00E267AB">
        <w:rPr>
          <w:lang w:val="fr-FR"/>
        </w:rPr>
        <w:t>espèce,</w:t>
      </w:r>
      <w:r w:rsidR="00C655C0" w:rsidRPr="00E267AB">
        <w:rPr>
          <w:lang w:val="fr-FR"/>
        </w:rPr>
        <w:t xml:space="preserve"> les autorités nationales ont pris, pour faciliter les visites</w:t>
      </w:r>
      <w:r w:rsidR="00C541B0" w:rsidRPr="00E267AB">
        <w:rPr>
          <w:lang w:val="fr-FR"/>
        </w:rPr>
        <w:t xml:space="preserve"> entre le requérant et sa fille</w:t>
      </w:r>
      <w:r w:rsidR="00C655C0" w:rsidRPr="00E267AB">
        <w:rPr>
          <w:lang w:val="fr-FR"/>
        </w:rPr>
        <w:t xml:space="preserve">, toutes les mesures nécessaires que </w:t>
      </w:r>
      <w:r w:rsidR="006F2C3C" w:rsidRPr="00E267AB">
        <w:rPr>
          <w:lang w:val="fr-FR"/>
        </w:rPr>
        <w:t>l</w:t>
      </w:r>
      <w:r w:rsidR="00E267AB" w:rsidRPr="00E267AB">
        <w:rPr>
          <w:lang w:val="fr-FR"/>
        </w:rPr>
        <w:t>’</w:t>
      </w:r>
      <w:r w:rsidR="006F2C3C" w:rsidRPr="00E267AB">
        <w:rPr>
          <w:lang w:val="fr-FR"/>
        </w:rPr>
        <w:t>on</w:t>
      </w:r>
      <w:r w:rsidR="00C655C0" w:rsidRPr="00E267AB">
        <w:rPr>
          <w:lang w:val="fr-FR"/>
        </w:rPr>
        <w:t xml:space="preserve"> pouvait raisonnablement exiger </w:t>
      </w:r>
      <w:r w:rsidR="00C541B0" w:rsidRPr="00E267AB">
        <w:rPr>
          <w:lang w:val="fr-FR"/>
        </w:rPr>
        <w:t>d</w:t>
      </w:r>
      <w:r w:rsidR="00E267AB" w:rsidRPr="00E267AB">
        <w:rPr>
          <w:lang w:val="fr-FR"/>
        </w:rPr>
        <w:t>’</w:t>
      </w:r>
      <w:r w:rsidR="00C541B0" w:rsidRPr="00E267AB">
        <w:rPr>
          <w:lang w:val="fr-FR"/>
        </w:rPr>
        <w:t>elles</w:t>
      </w:r>
      <w:r w:rsidR="00C655C0" w:rsidRPr="00E267AB">
        <w:rPr>
          <w:lang w:val="fr-FR"/>
        </w:rPr>
        <w:t xml:space="preserve"> (</w:t>
      </w:r>
      <w:r w:rsidR="00C655C0" w:rsidRPr="00E267AB">
        <w:rPr>
          <w:i/>
          <w:iCs/>
          <w:lang w:val="fr-FR"/>
        </w:rPr>
        <w:t>Nuutinen</w:t>
      </w:r>
      <w:r w:rsidR="00C655C0" w:rsidRPr="00E267AB">
        <w:rPr>
          <w:lang w:val="fr-FR"/>
        </w:rPr>
        <w:t xml:space="preserve">, </w:t>
      </w:r>
      <w:r w:rsidR="0076710F" w:rsidRPr="00E267AB">
        <w:rPr>
          <w:lang w:val="fr-FR"/>
        </w:rPr>
        <w:t>précité</w:t>
      </w:r>
      <w:r w:rsidR="00C655C0" w:rsidRPr="00E267AB">
        <w:rPr>
          <w:lang w:val="fr-FR"/>
        </w:rPr>
        <w:t>, § 128</w:t>
      </w:r>
      <w:r w:rsidR="003C18F4" w:rsidRPr="00E267AB">
        <w:rPr>
          <w:lang w:val="fr-FR"/>
        </w:rPr>
        <w:t>)</w:t>
      </w:r>
      <w:r w:rsidR="00C655C0" w:rsidRPr="00E267AB">
        <w:rPr>
          <w:lang w:val="fr-FR"/>
        </w:rPr>
        <w:t>.</w:t>
      </w:r>
    </w:p>
    <w:p w:rsidR="00B9316A" w:rsidRPr="00E267AB" w:rsidRDefault="00B9316A" w:rsidP="00E267AB">
      <w:pPr>
        <w:pStyle w:val="ECHRHeading4"/>
        <w:rPr>
          <w:lang w:val="fr-FR"/>
        </w:rPr>
      </w:pPr>
      <w:r w:rsidRPr="00E267AB">
        <w:rPr>
          <w:lang w:val="fr-FR"/>
        </w:rPr>
        <w:t>b)</w:t>
      </w:r>
      <w:r w:rsidR="00B21E1F" w:rsidRPr="00E267AB">
        <w:rPr>
          <w:lang w:val="fr-FR"/>
        </w:rPr>
        <w:t>  </w:t>
      </w:r>
      <w:r w:rsidRPr="00E267AB">
        <w:rPr>
          <w:lang w:val="fr-FR"/>
        </w:rPr>
        <w:t>Application de ces principes à la présente espèce</w:t>
      </w:r>
    </w:p>
    <w:p w:rsidR="00E77CB3" w:rsidRPr="00E267AB" w:rsidRDefault="00C541B0"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112</w:t>
      </w:r>
      <w:r w:rsidRPr="00E267AB">
        <w:rPr>
          <w:lang w:val="fr-FR"/>
        </w:rPr>
        <w:fldChar w:fldCharType="end"/>
      </w:r>
      <w:r w:rsidRPr="00E267AB">
        <w:rPr>
          <w:lang w:val="fr-FR"/>
        </w:rPr>
        <w:t>.  </w:t>
      </w:r>
      <w:r w:rsidR="00C655C0" w:rsidRPr="00E267AB">
        <w:rPr>
          <w:lang w:val="fr-FR"/>
        </w:rPr>
        <w:t xml:space="preserve">Se tournant vers les faits </w:t>
      </w:r>
      <w:r w:rsidR="003F7A06" w:rsidRPr="00E267AB">
        <w:rPr>
          <w:lang w:val="fr-FR"/>
        </w:rPr>
        <w:t>de la présente cause</w:t>
      </w:r>
      <w:r w:rsidR="00C655C0" w:rsidRPr="00E267AB">
        <w:rPr>
          <w:lang w:val="fr-FR"/>
        </w:rPr>
        <w:t xml:space="preserve">, la Cour note </w:t>
      </w:r>
      <w:r w:rsidR="000C3375" w:rsidRPr="00E267AB">
        <w:rPr>
          <w:lang w:val="fr-FR"/>
        </w:rPr>
        <w:t>d</w:t>
      </w:r>
      <w:r w:rsidR="00E267AB" w:rsidRPr="00E267AB">
        <w:rPr>
          <w:lang w:val="fr-FR"/>
        </w:rPr>
        <w:t>’</w:t>
      </w:r>
      <w:r w:rsidR="000C3375" w:rsidRPr="00E267AB">
        <w:rPr>
          <w:lang w:val="fr-FR"/>
        </w:rPr>
        <w:t xml:space="preserve">emblée </w:t>
      </w:r>
      <w:r w:rsidRPr="00E267AB">
        <w:rPr>
          <w:lang w:val="fr-FR"/>
        </w:rPr>
        <w:t>qu</w:t>
      </w:r>
      <w:r w:rsidR="00E267AB" w:rsidRPr="00E267AB">
        <w:rPr>
          <w:lang w:val="fr-FR"/>
        </w:rPr>
        <w:t>’</w:t>
      </w:r>
      <w:r w:rsidRPr="00E267AB">
        <w:rPr>
          <w:lang w:val="fr-FR"/>
        </w:rPr>
        <w:t>il</w:t>
      </w:r>
      <w:r w:rsidR="00C655C0" w:rsidRPr="00E267AB">
        <w:rPr>
          <w:lang w:val="fr-FR"/>
        </w:rPr>
        <w:t xml:space="preserve"> </w:t>
      </w:r>
      <w:r w:rsidRPr="00E267AB">
        <w:rPr>
          <w:lang w:val="fr-FR"/>
        </w:rPr>
        <w:t>n</w:t>
      </w:r>
      <w:r w:rsidR="00E267AB" w:rsidRPr="00E267AB">
        <w:rPr>
          <w:lang w:val="fr-FR"/>
        </w:rPr>
        <w:t>’</w:t>
      </w:r>
      <w:r w:rsidRPr="00E267AB">
        <w:rPr>
          <w:lang w:val="fr-FR"/>
        </w:rPr>
        <w:t>est</w:t>
      </w:r>
      <w:r w:rsidR="00C655C0" w:rsidRPr="00E267AB">
        <w:rPr>
          <w:lang w:val="fr-FR"/>
        </w:rPr>
        <w:t xml:space="preserve"> pas contesté en l</w:t>
      </w:r>
      <w:r w:rsidR="00E267AB" w:rsidRPr="00E267AB">
        <w:rPr>
          <w:lang w:val="fr-FR"/>
        </w:rPr>
        <w:t>’</w:t>
      </w:r>
      <w:r w:rsidR="00C655C0" w:rsidRPr="00E267AB">
        <w:rPr>
          <w:lang w:val="fr-FR"/>
        </w:rPr>
        <w:t xml:space="preserve">espèce que le lien entre le requérant et </w:t>
      </w:r>
      <w:r w:rsidR="006F2C3C" w:rsidRPr="00E267AB">
        <w:rPr>
          <w:lang w:val="fr-FR"/>
        </w:rPr>
        <w:t>sa fille</w:t>
      </w:r>
      <w:r w:rsidR="00C655C0" w:rsidRPr="00E267AB">
        <w:rPr>
          <w:lang w:val="fr-FR"/>
        </w:rPr>
        <w:t xml:space="preserve"> relève de la vie familiale au sens de l</w:t>
      </w:r>
      <w:r w:rsidR="00E267AB" w:rsidRPr="00E267AB">
        <w:rPr>
          <w:lang w:val="fr-FR"/>
        </w:rPr>
        <w:t>’</w:t>
      </w:r>
      <w:r w:rsidR="00C655C0" w:rsidRPr="00E267AB">
        <w:rPr>
          <w:lang w:val="fr-FR"/>
        </w:rPr>
        <w:t>article 8 de la Convention</w:t>
      </w:r>
      <w:r w:rsidR="006F2C3C" w:rsidRPr="00E267AB">
        <w:rPr>
          <w:lang w:val="fr-FR"/>
        </w:rPr>
        <w:t>.</w:t>
      </w:r>
    </w:p>
    <w:p w:rsidR="003C365E" w:rsidRPr="00E267AB" w:rsidRDefault="00FA4479"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113</w:t>
      </w:r>
      <w:r w:rsidRPr="00E267AB">
        <w:rPr>
          <w:lang w:val="fr-FR"/>
        </w:rPr>
        <w:fldChar w:fldCharType="end"/>
      </w:r>
      <w:r w:rsidRPr="00E267AB">
        <w:rPr>
          <w:lang w:val="fr-FR"/>
        </w:rPr>
        <w:t>.  </w:t>
      </w:r>
      <w:r w:rsidR="00DC2F9B" w:rsidRPr="00E267AB">
        <w:rPr>
          <w:lang w:val="fr-FR"/>
        </w:rPr>
        <w:t>En outre, elle</w:t>
      </w:r>
      <w:r w:rsidRPr="00E267AB">
        <w:rPr>
          <w:lang w:val="fr-FR"/>
        </w:rPr>
        <w:t xml:space="preserve"> estime que devant les circonstances qui lui sont soumises sa tâche consiste à examiner si les autorités nationales ont pris toutes les mesures que l</w:t>
      </w:r>
      <w:r w:rsidR="00E267AB" w:rsidRPr="00E267AB">
        <w:rPr>
          <w:lang w:val="fr-FR"/>
        </w:rPr>
        <w:t>’</w:t>
      </w:r>
      <w:r w:rsidRPr="00E267AB">
        <w:rPr>
          <w:lang w:val="fr-FR"/>
        </w:rPr>
        <w:t>on pouvait raisonnablement exiger d</w:t>
      </w:r>
      <w:r w:rsidR="00E267AB" w:rsidRPr="00E267AB">
        <w:rPr>
          <w:lang w:val="fr-FR"/>
        </w:rPr>
        <w:t>’</w:t>
      </w:r>
      <w:r w:rsidRPr="00E267AB">
        <w:rPr>
          <w:lang w:val="fr-FR"/>
        </w:rPr>
        <w:t xml:space="preserve">elles pour </w:t>
      </w:r>
      <w:r w:rsidRPr="00E267AB">
        <w:rPr>
          <w:lang w:val="fr-FR"/>
        </w:rPr>
        <w:lastRenderedPageBreak/>
        <w:t>maintenir les liens entre le requérant et sa fille</w:t>
      </w:r>
      <w:r w:rsidR="00DC2F9B" w:rsidRPr="00E267AB">
        <w:rPr>
          <w:lang w:val="fr-FR"/>
        </w:rPr>
        <w:t xml:space="preserve"> (</w:t>
      </w:r>
      <w:r w:rsidR="007914FC" w:rsidRPr="00E267AB">
        <w:rPr>
          <w:i/>
          <w:lang w:val="fr-FR"/>
        </w:rPr>
        <w:t xml:space="preserve">Bondavalli, </w:t>
      </w:r>
      <w:r w:rsidR="007914FC" w:rsidRPr="00E267AB">
        <w:rPr>
          <w:lang w:val="fr-FR"/>
        </w:rPr>
        <w:t>précité</w:t>
      </w:r>
      <w:r w:rsidR="007914FC" w:rsidRPr="00E267AB">
        <w:rPr>
          <w:i/>
          <w:lang w:val="fr-FR"/>
        </w:rPr>
        <w:t xml:space="preserve"> </w:t>
      </w:r>
      <w:r w:rsidR="007914FC" w:rsidRPr="00E267AB">
        <w:rPr>
          <w:lang w:val="fr-FR"/>
        </w:rPr>
        <w:t>§</w:t>
      </w:r>
      <w:r w:rsidR="007914FC" w:rsidRPr="00E267AB">
        <w:rPr>
          <w:i/>
          <w:lang w:val="fr-FR"/>
        </w:rPr>
        <w:t xml:space="preserve"> </w:t>
      </w:r>
      <w:r w:rsidR="007914FC" w:rsidRPr="00E267AB">
        <w:rPr>
          <w:lang w:val="fr-FR"/>
        </w:rPr>
        <w:t>75</w:t>
      </w:r>
      <w:r w:rsidR="00DC2F9B" w:rsidRPr="00E267AB">
        <w:rPr>
          <w:lang w:val="fr-FR"/>
        </w:rPr>
        <w:t>,</w:t>
      </w:r>
      <w:r w:rsidR="00DC2F9B" w:rsidRPr="00E267AB">
        <w:rPr>
          <w:snapToGrid w:val="0"/>
          <w:lang w:val="fr-FR"/>
        </w:rPr>
        <w:t>)</w:t>
      </w:r>
      <w:r w:rsidRPr="00E267AB">
        <w:rPr>
          <w:lang w:val="fr-FR"/>
        </w:rPr>
        <w:t xml:space="preserve"> </w:t>
      </w:r>
      <w:r w:rsidR="006C609B" w:rsidRPr="00E267AB">
        <w:rPr>
          <w:lang w:val="fr-FR"/>
        </w:rPr>
        <w:t>et</w:t>
      </w:r>
      <w:r w:rsidR="0072433E" w:rsidRPr="00E267AB">
        <w:rPr>
          <w:lang w:val="fr-FR"/>
        </w:rPr>
        <w:t xml:space="preserve"> à</w:t>
      </w:r>
      <w:r w:rsidR="006C609B" w:rsidRPr="00E267AB">
        <w:rPr>
          <w:lang w:val="fr-FR"/>
        </w:rPr>
        <w:t xml:space="preserve"> examiner la manière dont les autorités sont intervenues pour faciliter l</w:t>
      </w:r>
      <w:r w:rsidR="00E267AB" w:rsidRPr="00E267AB">
        <w:rPr>
          <w:lang w:val="fr-FR"/>
        </w:rPr>
        <w:t>’</w:t>
      </w:r>
      <w:r w:rsidR="006C609B" w:rsidRPr="00E267AB">
        <w:rPr>
          <w:lang w:val="fr-FR"/>
        </w:rPr>
        <w:t>exercice du droit de visite du requérant tel que défini par les décisions de justice (</w:t>
      </w:r>
      <w:r w:rsidR="006C609B" w:rsidRPr="00E267AB">
        <w:rPr>
          <w:i/>
          <w:iCs/>
          <w:lang w:val="fr-FR"/>
        </w:rPr>
        <w:t>Hokkanen c. Finlande</w:t>
      </w:r>
      <w:r w:rsidR="006C609B" w:rsidRPr="00E267AB">
        <w:rPr>
          <w:lang w:val="fr-FR"/>
        </w:rPr>
        <w:t>, 23 septembre 1994, § 58, série A n</w:t>
      </w:r>
      <w:r w:rsidR="006C609B" w:rsidRPr="00E267AB">
        <w:rPr>
          <w:vertAlign w:val="superscript"/>
          <w:lang w:val="fr-FR"/>
        </w:rPr>
        <w:t>o</w:t>
      </w:r>
      <w:r w:rsidR="006C609B" w:rsidRPr="00E267AB">
        <w:rPr>
          <w:lang w:val="fr-FR"/>
        </w:rPr>
        <w:t xml:space="preserve"> 299</w:t>
      </w:r>
      <w:r w:rsidR="006C609B" w:rsidRPr="00E267AB">
        <w:rPr>
          <w:lang w:val="fr-FR"/>
        </w:rPr>
        <w:noBreakHyphen/>
        <w:t xml:space="preserve">A, et </w:t>
      </w:r>
      <w:r w:rsidR="006C609B" w:rsidRPr="00E267AB">
        <w:rPr>
          <w:i/>
          <w:iCs/>
          <w:lang w:val="fr-FR"/>
        </w:rPr>
        <w:t>Kuppinger c. Allemagne</w:t>
      </w:r>
      <w:r w:rsidR="006C609B" w:rsidRPr="00E267AB">
        <w:rPr>
          <w:lang w:val="fr-FR"/>
        </w:rPr>
        <w:t>, n</w:t>
      </w:r>
      <w:r w:rsidR="006C609B" w:rsidRPr="00E267AB">
        <w:rPr>
          <w:vertAlign w:val="superscript"/>
          <w:lang w:val="fr-FR"/>
        </w:rPr>
        <w:t>o</w:t>
      </w:r>
      <w:r w:rsidR="006C609B" w:rsidRPr="00E267AB">
        <w:rPr>
          <w:lang w:val="fr-FR"/>
        </w:rPr>
        <w:t xml:space="preserve"> 62198/11, § 105, 15 janvier 2015)</w:t>
      </w:r>
      <w:r w:rsidRPr="00E267AB">
        <w:rPr>
          <w:lang w:val="fr-FR"/>
        </w:rPr>
        <w:t>.</w:t>
      </w:r>
      <w:r w:rsidR="002D0393" w:rsidRPr="00E267AB">
        <w:rPr>
          <w:lang w:val="fr-FR"/>
        </w:rPr>
        <w:t xml:space="preserve"> </w:t>
      </w:r>
      <w:r w:rsidR="007914FC" w:rsidRPr="00E267AB">
        <w:rPr>
          <w:lang w:val="fr-FR"/>
        </w:rPr>
        <w:t>Elle rappelle aussi,</w:t>
      </w:r>
      <w:r w:rsidR="00AE7FC5" w:rsidRPr="00E267AB">
        <w:rPr>
          <w:lang w:val="fr-FR"/>
        </w:rPr>
        <w:t xml:space="preserve"> que, dans une affaire de ce type, le caractère adéquat d</w:t>
      </w:r>
      <w:r w:rsidR="00E267AB" w:rsidRPr="00E267AB">
        <w:rPr>
          <w:lang w:val="fr-FR"/>
        </w:rPr>
        <w:t>’</w:t>
      </w:r>
      <w:r w:rsidR="00AE7FC5" w:rsidRPr="00E267AB">
        <w:rPr>
          <w:lang w:val="fr-FR"/>
        </w:rPr>
        <w:t>une mesure se juge à la rapidité de sa mise en œuvre (</w:t>
      </w:r>
      <w:r w:rsidR="00AE7FC5" w:rsidRPr="00E267AB">
        <w:rPr>
          <w:i/>
          <w:lang w:val="fr-FR"/>
        </w:rPr>
        <w:t>Piazzi</w:t>
      </w:r>
      <w:r w:rsidR="00AE7FC5" w:rsidRPr="00E267AB">
        <w:rPr>
          <w:lang w:val="fr-FR"/>
        </w:rPr>
        <w:t>, précité § 58) pour éviter que l</w:t>
      </w:r>
      <w:r w:rsidR="00E267AB" w:rsidRPr="00E267AB">
        <w:rPr>
          <w:lang w:val="fr-FR"/>
        </w:rPr>
        <w:t>’</w:t>
      </w:r>
      <w:r w:rsidR="00AE7FC5" w:rsidRPr="00E267AB">
        <w:rPr>
          <w:lang w:val="fr-FR"/>
        </w:rPr>
        <w:t xml:space="preserve">écoulement du temps </w:t>
      </w:r>
      <w:r w:rsidR="002228A4" w:rsidRPr="00E267AB">
        <w:rPr>
          <w:lang w:val="fr-FR"/>
        </w:rPr>
        <w:t>puisse avoir</w:t>
      </w:r>
      <w:r w:rsidR="00AE7FC5" w:rsidRPr="00E267AB">
        <w:rPr>
          <w:lang w:val="fr-FR"/>
        </w:rPr>
        <w:t xml:space="preserve"> à lui seul, des conséquences sur la relation d</w:t>
      </w:r>
      <w:r w:rsidR="00E267AB" w:rsidRPr="00E267AB">
        <w:rPr>
          <w:lang w:val="fr-FR"/>
        </w:rPr>
        <w:t>’</w:t>
      </w:r>
      <w:r w:rsidR="00AE7FC5" w:rsidRPr="00E267AB">
        <w:rPr>
          <w:lang w:val="fr-FR"/>
        </w:rPr>
        <w:t>un parent avec son enfant.</w:t>
      </w:r>
    </w:p>
    <w:p w:rsidR="003C365E" w:rsidRPr="00E267AB" w:rsidRDefault="007914FC"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114</w:t>
      </w:r>
      <w:r w:rsidRPr="00E267AB">
        <w:rPr>
          <w:lang w:val="fr-FR"/>
        </w:rPr>
        <w:fldChar w:fldCharType="end"/>
      </w:r>
      <w:r w:rsidRPr="00E267AB">
        <w:rPr>
          <w:lang w:val="fr-FR"/>
        </w:rPr>
        <w:t>.  </w:t>
      </w:r>
      <w:r w:rsidR="00AE7FC5" w:rsidRPr="00E267AB">
        <w:rPr>
          <w:lang w:val="fr-FR"/>
        </w:rPr>
        <w:t>La Cour relève que, à partir de 2007, le requérant n</w:t>
      </w:r>
      <w:r w:rsidR="00E267AB" w:rsidRPr="00E267AB">
        <w:rPr>
          <w:lang w:val="fr-FR"/>
        </w:rPr>
        <w:t>’</w:t>
      </w:r>
      <w:r w:rsidR="00AE7FC5" w:rsidRPr="00E267AB">
        <w:rPr>
          <w:lang w:val="fr-FR"/>
        </w:rPr>
        <w:t xml:space="preserve">a cessé de demander </w:t>
      </w:r>
      <w:r w:rsidR="0055450F" w:rsidRPr="00E267AB">
        <w:rPr>
          <w:lang w:val="fr-FR"/>
        </w:rPr>
        <w:t>a</w:t>
      </w:r>
      <w:r w:rsidR="00AE7FC5" w:rsidRPr="00E267AB">
        <w:rPr>
          <w:lang w:val="fr-FR"/>
        </w:rPr>
        <w:t xml:space="preserve">u tribunal </w:t>
      </w:r>
      <w:r w:rsidR="00B85A4A" w:rsidRPr="00E267AB">
        <w:rPr>
          <w:lang w:val="fr-FR"/>
        </w:rPr>
        <w:t>l</w:t>
      </w:r>
      <w:r w:rsidR="00E267AB" w:rsidRPr="00E267AB">
        <w:rPr>
          <w:lang w:val="fr-FR"/>
        </w:rPr>
        <w:t>’</w:t>
      </w:r>
      <w:r w:rsidR="00B85A4A" w:rsidRPr="00E267AB">
        <w:rPr>
          <w:lang w:val="fr-FR"/>
        </w:rPr>
        <w:t>organisation de rencontres avec</w:t>
      </w:r>
      <w:r w:rsidR="00AE7FC5" w:rsidRPr="00E267AB">
        <w:rPr>
          <w:lang w:val="fr-FR"/>
        </w:rPr>
        <w:t xml:space="preserve"> sa fille</w:t>
      </w:r>
      <w:r w:rsidR="002C1CB2" w:rsidRPr="00E267AB">
        <w:rPr>
          <w:lang w:val="fr-FR"/>
        </w:rPr>
        <w:t>,</w:t>
      </w:r>
      <w:r w:rsidR="00AE7FC5" w:rsidRPr="00E267AB">
        <w:rPr>
          <w:lang w:val="fr-FR"/>
        </w:rPr>
        <w:t xml:space="preserve"> mais </w:t>
      </w:r>
      <w:r w:rsidR="0055450F" w:rsidRPr="00E267AB">
        <w:rPr>
          <w:lang w:val="fr-FR"/>
        </w:rPr>
        <w:t>qu</w:t>
      </w:r>
      <w:r w:rsidR="00E267AB" w:rsidRPr="00E267AB">
        <w:rPr>
          <w:lang w:val="fr-FR"/>
        </w:rPr>
        <w:t>’</w:t>
      </w:r>
      <w:r w:rsidR="00AE7FC5" w:rsidRPr="00E267AB">
        <w:rPr>
          <w:lang w:val="fr-FR"/>
        </w:rPr>
        <w:t>il n</w:t>
      </w:r>
      <w:r w:rsidR="00E267AB" w:rsidRPr="00E267AB">
        <w:rPr>
          <w:lang w:val="fr-FR"/>
        </w:rPr>
        <w:t>’</w:t>
      </w:r>
      <w:r w:rsidR="00AE7FC5" w:rsidRPr="00E267AB">
        <w:rPr>
          <w:lang w:val="fr-FR"/>
        </w:rPr>
        <w:t>a pu exercer son droit de visite que de manière très limitée en raison de l</w:t>
      </w:r>
      <w:r w:rsidR="00E267AB" w:rsidRPr="00E267AB">
        <w:rPr>
          <w:lang w:val="fr-FR"/>
        </w:rPr>
        <w:t>’</w:t>
      </w:r>
      <w:r w:rsidR="00AE7FC5" w:rsidRPr="00E267AB">
        <w:rPr>
          <w:lang w:val="fr-FR"/>
        </w:rPr>
        <w:t>opposition de la mère de l</w:t>
      </w:r>
      <w:r w:rsidR="00E267AB" w:rsidRPr="00E267AB">
        <w:rPr>
          <w:lang w:val="fr-FR"/>
        </w:rPr>
        <w:t>’</w:t>
      </w:r>
      <w:r w:rsidR="00AE7FC5" w:rsidRPr="00E267AB">
        <w:rPr>
          <w:lang w:val="fr-FR"/>
        </w:rPr>
        <w:t>enfant.</w:t>
      </w:r>
    </w:p>
    <w:p w:rsidR="00AE7FC5" w:rsidRPr="00E267AB" w:rsidRDefault="00AE7FC5"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115</w:t>
      </w:r>
      <w:r w:rsidRPr="00E267AB">
        <w:rPr>
          <w:lang w:val="fr-FR"/>
        </w:rPr>
        <w:fldChar w:fldCharType="end"/>
      </w:r>
      <w:r w:rsidRPr="00E267AB">
        <w:rPr>
          <w:lang w:val="fr-FR"/>
        </w:rPr>
        <w:t>.  </w:t>
      </w:r>
      <w:r w:rsidR="00B6347E" w:rsidRPr="00E267AB">
        <w:rPr>
          <w:lang w:val="fr-FR"/>
        </w:rPr>
        <w:t>À cet égard, elle constate</w:t>
      </w:r>
      <w:r w:rsidR="00B6347E" w:rsidRPr="00E267AB">
        <w:rPr>
          <w:rFonts w:ascii="Times New Roman" w:hAnsi="Times New Roman" w:cs="Times New Roman"/>
          <w:szCs w:val="24"/>
          <w:lang w:val="fr-FR"/>
        </w:rPr>
        <w:t xml:space="preserve"> que</w:t>
      </w:r>
      <w:r w:rsidR="007914FC" w:rsidRPr="00E267AB">
        <w:rPr>
          <w:rFonts w:ascii="Times New Roman" w:hAnsi="Times New Roman" w:cs="Times New Roman"/>
          <w:szCs w:val="24"/>
          <w:lang w:val="fr-FR"/>
        </w:rPr>
        <w:t>, déjà en 2008, dans leur premier rapport</w:t>
      </w:r>
      <w:r w:rsidR="007914FC" w:rsidRPr="00E267AB">
        <w:rPr>
          <w:rFonts w:ascii="Times New Roman" w:hAnsi="Times New Roman" w:cs="Times New Roman"/>
          <w:b/>
          <w:szCs w:val="24"/>
          <w:lang w:val="fr-FR"/>
        </w:rPr>
        <w:t>,</w:t>
      </w:r>
      <w:r w:rsidR="007914FC" w:rsidRPr="00E267AB">
        <w:rPr>
          <w:rFonts w:ascii="Times New Roman" w:hAnsi="Times New Roman" w:cs="Times New Roman"/>
          <w:szCs w:val="24"/>
          <w:lang w:val="fr-FR"/>
        </w:rPr>
        <w:t xml:space="preserve"> les experts </w:t>
      </w:r>
      <w:r w:rsidR="00056497" w:rsidRPr="00E267AB">
        <w:rPr>
          <w:rFonts w:ascii="Times New Roman" w:hAnsi="Times New Roman" w:cs="Times New Roman"/>
          <w:szCs w:val="24"/>
          <w:lang w:val="fr-FR"/>
        </w:rPr>
        <w:t>ont</w:t>
      </w:r>
      <w:r w:rsidR="007914FC" w:rsidRPr="00E267AB">
        <w:rPr>
          <w:rFonts w:ascii="Times New Roman" w:hAnsi="Times New Roman" w:cs="Times New Roman"/>
          <w:szCs w:val="24"/>
          <w:lang w:val="fr-FR"/>
        </w:rPr>
        <w:t xml:space="preserve"> observé qu</w:t>
      </w:r>
      <w:r w:rsidR="00E267AB" w:rsidRPr="00E267AB">
        <w:rPr>
          <w:rFonts w:ascii="Times New Roman" w:hAnsi="Times New Roman" w:cs="Times New Roman"/>
          <w:szCs w:val="24"/>
          <w:lang w:val="fr-FR"/>
        </w:rPr>
        <w:t>’</w:t>
      </w:r>
      <w:r w:rsidR="007914FC" w:rsidRPr="00E267AB">
        <w:rPr>
          <w:rFonts w:ascii="Times New Roman" w:hAnsi="Times New Roman" w:cs="Times New Roman"/>
          <w:szCs w:val="24"/>
          <w:lang w:val="fr-FR"/>
        </w:rPr>
        <w:t>il existait un lien très fort entre le requérant et sa fille et, notamment, qu</w:t>
      </w:r>
      <w:r w:rsidR="00E267AB" w:rsidRPr="00E267AB">
        <w:rPr>
          <w:rFonts w:ascii="Times New Roman" w:hAnsi="Times New Roman" w:cs="Times New Roman"/>
          <w:szCs w:val="24"/>
          <w:lang w:val="fr-FR"/>
        </w:rPr>
        <w:t>’</w:t>
      </w:r>
      <w:r w:rsidR="007914FC" w:rsidRPr="00E267AB">
        <w:rPr>
          <w:rFonts w:ascii="Times New Roman" w:hAnsi="Times New Roman" w:cs="Times New Roman"/>
          <w:szCs w:val="24"/>
          <w:lang w:val="fr-FR"/>
        </w:rPr>
        <w:t>il fallait intervenir de manière urgent</w:t>
      </w:r>
      <w:r w:rsidR="0055450F" w:rsidRPr="00E267AB">
        <w:rPr>
          <w:rFonts w:ascii="Times New Roman" w:hAnsi="Times New Roman" w:cs="Times New Roman"/>
          <w:szCs w:val="24"/>
          <w:lang w:val="fr-FR"/>
        </w:rPr>
        <w:t>e</w:t>
      </w:r>
      <w:r w:rsidR="007914FC" w:rsidRPr="00E267AB">
        <w:rPr>
          <w:rFonts w:ascii="Times New Roman" w:hAnsi="Times New Roman" w:cs="Times New Roman"/>
          <w:szCs w:val="24"/>
          <w:lang w:val="fr-FR"/>
        </w:rPr>
        <w:t xml:space="preserve"> pour protéger celle-ci. Le rapport suivant, daté également de 2008, a mis l</w:t>
      </w:r>
      <w:r w:rsidR="00E267AB" w:rsidRPr="00E267AB">
        <w:rPr>
          <w:rFonts w:ascii="Times New Roman" w:hAnsi="Times New Roman" w:cs="Times New Roman"/>
          <w:szCs w:val="24"/>
          <w:lang w:val="fr-FR"/>
        </w:rPr>
        <w:t>’</w:t>
      </w:r>
      <w:r w:rsidR="007914FC" w:rsidRPr="00E267AB">
        <w:rPr>
          <w:rFonts w:ascii="Times New Roman" w:hAnsi="Times New Roman" w:cs="Times New Roman"/>
          <w:szCs w:val="24"/>
          <w:lang w:val="fr-FR"/>
        </w:rPr>
        <w:t>accent sur les difficultés du père à avoir accès à l</w:t>
      </w:r>
      <w:r w:rsidR="00E267AB" w:rsidRPr="00E267AB">
        <w:rPr>
          <w:rFonts w:ascii="Times New Roman" w:hAnsi="Times New Roman" w:cs="Times New Roman"/>
          <w:szCs w:val="24"/>
          <w:lang w:val="fr-FR"/>
        </w:rPr>
        <w:t>’</w:t>
      </w:r>
      <w:r w:rsidR="007914FC" w:rsidRPr="00E267AB">
        <w:rPr>
          <w:rFonts w:ascii="Times New Roman" w:hAnsi="Times New Roman" w:cs="Times New Roman"/>
          <w:szCs w:val="24"/>
          <w:lang w:val="fr-FR"/>
        </w:rPr>
        <w:t>enfant et a souligné que N.R. n</w:t>
      </w:r>
      <w:r w:rsidR="00E267AB" w:rsidRPr="00E267AB">
        <w:rPr>
          <w:rFonts w:ascii="Times New Roman" w:hAnsi="Times New Roman" w:cs="Times New Roman"/>
          <w:szCs w:val="24"/>
          <w:lang w:val="fr-FR"/>
        </w:rPr>
        <w:t>’</w:t>
      </w:r>
      <w:r w:rsidR="007914FC" w:rsidRPr="00E267AB">
        <w:rPr>
          <w:rFonts w:ascii="Times New Roman" w:hAnsi="Times New Roman" w:cs="Times New Roman"/>
          <w:szCs w:val="24"/>
          <w:lang w:val="fr-FR"/>
        </w:rPr>
        <w:t xml:space="preserve">aidait pas sa fille à établir une relation équilibrée avec </w:t>
      </w:r>
      <w:r w:rsidR="00B85A4A" w:rsidRPr="00E267AB">
        <w:rPr>
          <w:rFonts w:ascii="Times New Roman" w:hAnsi="Times New Roman" w:cs="Times New Roman"/>
          <w:szCs w:val="24"/>
          <w:lang w:val="fr-FR"/>
        </w:rPr>
        <w:t>l</w:t>
      </w:r>
      <w:r w:rsidR="00E267AB" w:rsidRPr="00E267AB">
        <w:rPr>
          <w:rFonts w:ascii="Times New Roman" w:hAnsi="Times New Roman" w:cs="Times New Roman"/>
          <w:szCs w:val="24"/>
          <w:lang w:val="fr-FR"/>
        </w:rPr>
        <w:t>’</w:t>
      </w:r>
      <w:r w:rsidR="00B85A4A" w:rsidRPr="00E267AB">
        <w:rPr>
          <w:rFonts w:ascii="Times New Roman" w:hAnsi="Times New Roman" w:cs="Times New Roman"/>
          <w:szCs w:val="24"/>
          <w:lang w:val="fr-FR"/>
        </w:rPr>
        <w:t>intéressé</w:t>
      </w:r>
      <w:r w:rsidR="007914FC" w:rsidRPr="00E267AB">
        <w:rPr>
          <w:rFonts w:ascii="Times New Roman" w:hAnsi="Times New Roman" w:cs="Times New Roman"/>
          <w:szCs w:val="24"/>
          <w:lang w:val="fr-FR"/>
        </w:rPr>
        <w:t xml:space="preserve">. Les experts </w:t>
      </w:r>
      <w:r w:rsidR="00056497" w:rsidRPr="00E267AB">
        <w:rPr>
          <w:rFonts w:ascii="Times New Roman" w:hAnsi="Times New Roman" w:cs="Times New Roman"/>
          <w:szCs w:val="24"/>
          <w:lang w:val="fr-FR"/>
        </w:rPr>
        <w:t>o</w:t>
      </w:r>
      <w:r w:rsidR="007914FC" w:rsidRPr="00E267AB">
        <w:rPr>
          <w:rFonts w:ascii="Times New Roman" w:hAnsi="Times New Roman" w:cs="Times New Roman"/>
          <w:szCs w:val="24"/>
          <w:lang w:val="fr-FR"/>
        </w:rPr>
        <w:t>nt ainsi suggéré au tribunal de prendre des mesures concrètes afin de favoriser les relations entre le requérant et S. Par ailleurs, la Cour note que</w:t>
      </w:r>
      <w:r w:rsidR="00B6347E" w:rsidRPr="00E267AB">
        <w:rPr>
          <w:rFonts w:ascii="Times New Roman" w:hAnsi="Times New Roman" w:cs="Times New Roman"/>
          <w:szCs w:val="24"/>
          <w:lang w:val="fr-FR"/>
        </w:rPr>
        <w:t xml:space="preserve">, à plusieurs reprises, </w:t>
      </w:r>
      <w:r w:rsidR="007914FC" w:rsidRPr="00E267AB">
        <w:rPr>
          <w:rFonts w:ascii="Times New Roman" w:hAnsi="Times New Roman" w:cs="Times New Roman"/>
          <w:szCs w:val="24"/>
          <w:lang w:val="fr-FR"/>
        </w:rPr>
        <w:t>les tribunaux ont</w:t>
      </w:r>
      <w:r w:rsidR="00B6347E" w:rsidRPr="00E267AB">
        <w:rPr>
          <w:rFonts w:ascii="Times New Roman" w:hAnsi="Times New Roman" w:cs="Times New Roman"/>
          <w:szCs w:val="24"/>
          <w:lang w:val="fr-FR"/>
        </w:rPr>
        <w:t xml:space="preserve"> ordonné</w:t>
      </w:r>
      <w:r w:rsidR="007914FC" w:rsidRPr="00E267AB">
        <w:rPr>
          <w:rFonts w:ascii="Times New Roman" w:hAnsi="Times New Roman" w:cs="Times New Roman"/>
          <w:szCs w:val="24"/>
          <w:lang w:val="fr-FR"/>
        </w:rPr>
        <w:t xml:space="preserve"> aux services sociaux d</w:t>
      </w:r>
      <w:r w:rsidR="00E267AB" w:rsidRPr="00E267AB">
        <w:rPr>
          <w:rFonts w:ascii="Times New Roman" w:hAnsi="Times New Roman" w:cs="Times New Roman"/>
          <w:szCs w:val="24"/>
          <w:lang w:val="fr-FR"/>
        </w:rPr>
        <w:t>’</w:t>
      </w:r>
      <w:r w:rsidR="007914FC" w:rsidRPr="00E267AB">
        <w:rPr>
          <w:rFonts w:ascii="Times New Roman" w:hAnsi="Times New Roman" w:cs="Times New Roman"/>
          <w:szCs w:val="24"/>
          <w:lang w:val="fr-FR"/>
        </w:rPr>
        <w:t>organiser les rencontres (</w:t>
      </w:r>
      <w:r w:rsidR="00CC6F1C" w:rsidRPr="00E267AB">
        <w:rPr>
          <w:rFonts w:ascii="Times New Roman" w:hAnsi="Times New Roman" w:cs="Times New Roman"/>
          <w:szCs w:val="24"/>
          <w:lang w:val="fr-FR"/>
        </w:rPr>
        <w:t>paragraphes 9, 11 et 17 ci</w:t>
      </w:r>
      <w:r w:rsidR="00E75F33" w:rsidRPr="00E267AB">
        <w:rPr>
          <w:rFonts w:ascii="Times New Roman" w:hAnsi="Times New Roman" w:cs="Times New Roman"/>
          <w:szCs w:val="24"/>
          <w:lang w:val="fr-FR"/>
        </w:rPr>
        <w:t>-</w:t>
      </w:r>
      <w:r w:rsidR="00CC6F1C" w:rsidRPr="00E267AB">
        <w:rPr>
          <w:rFonts w:ascii="Times New Roman" w:hAnsi="Times New Roman" w:cs="Times New Roman"/>
          <w:szCs w:val="24"/>
          <w:lang w:val="fr-FR"/>
        </w:rPr>
        <w:t>dessus)</w:t>
      </w:r>
      <w:r w:rsidR="007914FC" w:rsidRPr="00E267AB">
        <w:rPr>
          <w:rFonts w:ascii="Times New Roman" w:hAnsi="Times New Roman" w:cs="Times New Roman"/>
          <w:szCs w:val="24"/>
          <w:lang w:val="fr-FR"/>
        </w:rPr>
        <w:t xml:space="preserve"> et à la mère de respecter </w:t>
      </w:r>
      <w:r w:rsidR="00B25FE6" w:rsidRPr="00E267AB">
        <w:rPr>
          <w:rFonts w:ascii="Times New Roman" w:hAnsi="Times New Roman" w:cs="Times New Roman"/>
          <w:szCs w:val="24"/>
          <w:lang w:val="fr-FR"/>
        </w:rPr>
        <w:t>leurs</w:t>
      </w:r>
      <w:r w:rsidR="007914FC" w:rsidRPr="00E267AB">
        <w:rPr>
          <w:rFonts w:ascii="Times New Roman" w:hAnsi="Times New Roman" w:cs="Times New Roman"/>
          <w:szCs w:val="24"/>
          <w:lang w:val="fr-FR"/>
        </w:rPr>
        <w:t xml:space="preserve"> décisions (</w:t>
      </w:r>
      <w:r w:rsidR="00CC6F1C" w:rsidRPr="00E267AB">
        <w:rPr>
          <w:rFonts w:ascii="Times New Roman" w:hAnsi="Times New Roman" w:cs="Times New Roman"/>
          <w:szCs w:val="24"/>
          <w:lang w:val="fr-FR"/>
        </w:rPr>
        <w:t>paragraphe 36 ci</w:t>
      </w:r>
      <w:r w:rsidR="00E75F33" w:rsidRPr="00E267AB">
        <w:rPr>
          <w:rFonts w:ascii="Times New Roman" w:hAnsi="Times New Roman" w:cs="Times New Roman"/>
          <w:szCs w:val="24"/>
          <w:lang w:val="fr-FR"/>
        </w:rPr>
        <w:t>-</w:t>
      </w:r>
      <w:r w:rsidR="00CC6F1C" w:rsidRPr="00E267AB">
        <w:rPr>
          <w:rFonts w:ascii="Times New Roman" w:hAnsi="Times New Roman" w:cs="Times New Roman"/>
          <w:szCs w:val="24"/>
          <w:lang w:val="fr-FR"/>
        </w:rPr>
        <w:t>dessus</w:t>
      </w:r>
      <w:r w:rsidR="007914FC" w:rsidRPr="00E267AB">
        <w:rPr>
          <w:rFonts w:ascii="Times New Roman" w:hAnsi="Times New Roman" w:cs="Times New Roman"/>
          <w:szCs w:val="24"/>
          <w:lang w:val="fr-FR"/>
        </w:rPr>
        <w:t>)</w:t>
      </w:r>
      <w:r w:rsidR="00B85A4A" w:rsidRPr="00E267AB">
        <w:rPr>
          <w:rFonts w:ascii="Times New Roman" w:hAnsi="Times New Roman" w:cs="Times New Roman"/>
          <w:szCs w:val="24"/>
          <w:lang w:val="fr-FR"/>
        </w:rPr>
        <w:t>.</w:t>
      </w:r>
      <w:r w:rsidR="007914FC" w:rsidRPr="00E267AB">
        <w:rPr>
          <w:rFonts w:ascii="Times New Roman" w:hAnsi="Times New Roman" w:cs="Times New Roman"/>
          <w:szCs w:val="24"/>
          <w:lang w:val="fr-FR"/>
        </w:rPr>
        <w:t xml:space="preserve"> Toutefois,</w:t>
      </w:r>
      <w:r w:rsidRPr="00E267AB">
        <w:rPr>
          <w:lang w:val="fr-FR"/>
        </w:rPr>
        <w:t xml:space="preserve"> les rencontres </w:t>
      </w:r>
      <w:r w:rsidR="002228A4" w:rsidRPr="00E267AB">
        <w:rPr>
          <w:lang w:val="fr-FR"/>
        </w:rPr>
        <w:t xml:space="preserve">entre le </w:t>
      </w:r>
      <w:r w:rsidRPr="00E267AB">
        <w:rPr>
          <w:lang w:val="fr-FR"/>
        </w:rPr>
        <w:t xml:space="preserve">requérant </w:t>
      </w:r>
      <w:r w:rsidR="002228A4" w:rsidRPr="00E267AB">
        <w:rPr>
          <w:lang w:val="fr-FR"/>
        </w:rPr>
        <w:t xml:space="preserve">et </w:t>
      </w:r>
      <w:r w:rsidRPr="00E267AB">
        <w:rPr>
          <w:lang w:val="fr-FR"/>
        </w:rPr>
        <w:t xml:space="preserve">sa fille </w:t>
      </w:r>
      <w:r w:rsidR="002228A4" w:rsidRPr="00E267AB">
        <w:rPr>
          <w:lang w:val="fr-FR"/>
        </w:rPr>
        <w:t xml:space="preserve">ont été réduites en nombre et leur </w:t>
      </w:r>
      <w:r w:rsidR="00B85A4A" w:rsidRPr="00E267AB">
        <w:rPr>
          <w:lang w:val="fr-FR"/>
        </w:rPr>
        <w:t>organisation</w:t>
      </w:r>
      <w:r w:rsidR="00B6347E" w:rsidRPr="00E267AB">
        <w:rPr>
          <w:lang w:val="fr-FR"/>
        </w:rPr>
        <w:t xml:space="preserve"> a été</w:t>
      </w:r>
      <w:r w:rsidR="002228A4" w:rsidRPr="00E267AB">
        <w:rPr>
          <w:lang w:val="fr-FR"/>
        </w:rPr>
        <w:t xml:space="preserve"> difficile</w:t>
      </w:r>
      <w:r w:rsidRPr="00E267AB">
        <w:rPr>
          <w:lang w:val="fr-FR"/>
        </w:rPr>
        <w:t>. La procédure pénale</w:t>
      </w:r>
      <w:r w:rsidR="00B6347E" w:rsidRPr="00E267AB">
        <w:rPr>
          <w:lang w:val="fr-FR"/>
        </w:rPr>
        <w:t xml:space="preserve"> menée </w:t>
      </w:r>
      <w:r w:rsidR="00441EDD" w:rsidRPr="00E267AB">
        <w:rPr>
          <w:lang w:val="fr-FR"/>
        </w:rPr>
        <w:t xml:space="preserve">à </w:t>
      </w:r>
      <w:r w:rsidRPr="00E267AB">
        <w:rPr>
          <w:lang w:val="fr-FR"/>
        </w:rPr>
        <w:t>l</w:t>
      </w:r>
      <w:r w:rsidR="00E267AB" w:rsidRPr="00E267AB">
        <w:rPr>
          <w:lang w:val="fr-FR"/>
        </w:rPr>
        <w:t>’</w:t>
      </w:r>
      <w:r w:rsidRPr="00E267AB">
        <w:rPr>
          <w:lang w:val="fr-FR"/>
        </w:rPr>
        <w:t>encontre de N.R.</w:t>
      </w:r>
      <w:r w:rsidR="00B6347E" w:rsidRPr="00E267AB">
        <w:rPr>
          <w:lang w:val="fr-FR"/>
        </w:rPr>
        <w:t>, entre autres</w:t>
      </w:r>
      <w:r w:rsidRPr="00E267AB">
        <w:rPr>
          <w:lang w:val="fr-FR"/>
        </w:rPr>
        <w:t xml:space="preserve"> pour</w:t>
      </w:r>
      <w:r w:rsidR="00B6347E" w:rsidRPr="00E267AB">
        <w:rPr>
          <w:lang w:val="fr-FR"/>
        </w:rPr>
        <w:t xml:space="preserve"> </w:t>
      </w:r>
      <w:r w:rsidRPr="00E267AB">
        <w:rPr>
          <w:lang w:val="fr-FR"/>
        </w:rPr>
        <w:t>non-respect d</w:t>
      </w:r>
      <w:r w:rsidR="00E267AB" w:rsidRPr="00E267AB">
        <w:rPr>
          <w:lang w:val="fr-FR"/>
        </w:rPr>
        <w:t>’</w:t>
      </w:r>
      <w:r w:rsidRPr="00E267AB">
        <w:rPr>
          <w:lang w:val="fr-FR"/>
        </w:rPr>
        <w:t>une décision judic</w:t>
      </w:r>
      <w:r w:rsidR="00B6347E" w:rsidRPr="00E267AB">
        <w:rPr>
          <w:lang w:val="fr-FR"/>
        </w:rPr>
        <w:t>i</w:t>
      </w:r>
      <w:r w:rsidRPr="00E267AB">
        <w:rPr>
          <w:lang w:val="fr-FR"/>
        </w:rPr>
        <w:t>aire</w:t>
      </w:r>
      <w:r w:rsidR="00441EDD" w:rsidRPr="00E267AB">
        <w:rPr>
          <w:lang w:val="fr-FR"/>
        </w:rPr>
        <w:t>,</w:t>
      </w:r>
      <w:r w:rsidRPr="00E267AB">
        <w:rPr>
          <w:lang w:val="fr-FR"/>
        </w:rPr>
        <w:t xml:space="preserve"> est toujours pendante.</w:t>
      </w:r>
    </w:p>
    <w:p w:rsidR="00AE7FC5" w:rsidRPr="00E267AB" w:rsidRDefault="00AE7FC5"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116</w:t>
      </w:r>
      <w:r w:rsidRPr="00E267AB">
        <w:rPr>
          <w:lang w:val="fr-FR"/>
        </w:rPr>
        <w:fldChar w:fldCharType="end"/>
      </w:r>
      <w:r w:rsidRPr="00E267AB">
        <w:rPr>
          <w:lang w:val="fr-FR"/>
        </w:rPr>
        <w:t>.  </w:t>
      </w:r>
      <w:r w:rsidR="00A92FE3" w:rsidRPr="00E267AB">
        <w:rPr>
          <w:lang w:val="fr-FR"/>
        </w:rPr>
        <w:t xml:space="preserve">La Cour note ensuite que </w:t>
      </w:r>
      <w:r w:rsidRPr="00E267AB">
        <w:rPr>
          <w:lang w:val="fr-FR"/>
        </w:rPr>
        <w:t>l</w:t>
      </w:r>
      <w:r w:rsidR="00E267AB" w:rsidRPr="00E267AB">
        <w:rPr>
          <w:lang w:val="fr-FR"/>
        </w:rPr>
        <w:t>’</w:t>
      </w:r>
      <w:r w:rsidRPr="00E267AB">
        <w:rPr>
          <w:lang w:val="fr-FR"/>
        </w:rPr>
        <w:t xml:space="preserve">expert mandaté par le tribunal </w:t>
      </w:r>
      <w:r w:rsidR="00441EDD" w:rsidRPr="00E267AB">
        <w:rPr>
          <w:lang w:val="fr-FR"/>
        </w:rPr>
        <w:t>en 2010 a souligné</w:t>
      </w:r>
      <w:r w:rsidRPr="00E267AB">
        <w:rPr>
          <w:lang w:val="fr-FR"/>
        </w:rPr>
        <w:t xml:space="preserve"> que le comportement de N.R. avait </w:t>
      </w:r>
      <w:r w:rsidR="00F76FE3" w:rsidRPr="00E267AB">
        <w:rPr>
          <w:lang w:val="fr-FR"/>
        </w:rPr>
        <w:t>empêché</w:t>
      </w:r>
      <w:r w:rsidRPr="00E267AB">
        <w:rPr>
          <w:lang w:val="fr-FR"/>
        </w:rPr>
        <w:t xml:space="preserve"> l</w:t>
      </w:r>
      <w:r w:rsidR="00E267AB" w:rsidRPr="00E267AB">
        <w:rPr>
          <w:lang w:val="fr-FR"/>
        </w:rPr>
        <w:t>’</w:t>
      </w:r>
      <w:r w:rsidRPr="00E267AB">
        <w:rPr>
          <w:lang w:val="fr-FR"/>
        </w:rPr>
        <w:t>enfant d</w:t>
      </w:r>
      <w:r w:rsidR="00E267AB" w:rsidRPr="00E267AB">
        <w:rPr>
          <w:lang w:val="fr-FR"/>
        </w:rPr>
        <w:t>’</w:t>
      </w:r>
      <w:r w:rsidRPr="00E267AB">
        <w:rPr>
          <w:lang w:val="fr-FR"/>
        </w:rPr>
        <w:t>établir un rapport avec son père</w:t>
      </w:r>
      <w:r w:rsidR="00A92FE3" w:rsidRPr="00E267AB">
        <w:rPr>
          <w:lang w:val="fr-FR"/>
        </w:rPr>
        <w:t xml:space="preserve"> – ce qui avait déjà été </w:t>
      </w:r>
      <w:r w:rsidR="00056497" w:rsidRPr="00E267AB">
        <w:rPr>
          <w:lang w:val="fr-FR"/>
        </w:rPr>
        <w:t>mentionné dans les</w:t>
      </w:r>
      <w:r w:rsidR="00A92FE3" w:rsidRPr="00E267AB">
        <w:rPr>
          <w:lang w:val="fr-FR"/>
        </w:rPr>
        <w:t xml:space="preserve"> conclusions</w:t>
      </w:r>
      <w:r w:rsidR="00056497" w:rsidRPr="00E267AB">
        <w:rPr>
          <w:lang w:val="fr-FR"/>
        </w:rPr>
        <w:t xml:space="preserve"> des rapports d</w:t>
      </w:r>
      <w:r w:rsidR="00E267AB" w:rsidRPr="00E267AB">
        <w:rPr>
          <w:lang w:val="fr-FR"/>
        </w:rPr>
        <w:t>’</w:t>
      </w:r>
      <w:r w:rsidR="00A92FE3" w:rsidRPr="00E267AB">
        <w:rPr>
          <w:lang w:val="fr-FR"/>
        </w:rPr>
        <w:t xml:space="preserve">expertise </w:t>
      </w:r>
      <w:r w:rsidR="00056497" w:rsidRPr="00E267AB">
        <w:rPr>
          <w:lang w:val="fr-FR"/>
        </w:rPr>
        <w:t>établis</w:t>
      </w:r>
      <w:r w:rsidR="00A92FE3" w:rsidRPr="00E267AB">
        <w:rPr>
          <w:lang w:val="fr-FR"/>
        </w:rPr>
        <w:t xml:space="preserve"> en 2008 –</w:t>
      </w:r>
      <w:r w:rsidR="00056497" w:rsidRPr="00E267AB">
        <w:rPr>
          <w:lang w:val="fr-FR"/>
        </w:rPr>
        <w:t xml:space="preserve"> et qu</w:t>
      </w:r>
      <w:r w:rsidR="00E267AB" w:rsidRPr="00E267AB">
        <w:rPr>
          <w:lang w:val="fr-FR"/>
        </w:rPr>
        <w:t>’</w:t>
      </w:r>
      <w:r w:rsidR="00056497" w:rsidRPr="00E267AB">
        <w:rPr>
          <w:lang w:val="fr-FR"/>
        </w:rPr>
        <w:t>il a suggéré</w:t>
      </w:r>
      <w:r w:rsidRPr="00E267AB">
        <w:rPr>
          <w:lang w:val="fr-FR"/>
        </w:rPr>
        <w:t xml:space="preserve"> au tribunal de confier</w:t>
      </w:r>
      <w:r w:rsidR="00441EDD" w:rsidRPr="00E267AB">
        <w:rPr>
          <w:lang w:val="fr-FR"/>
        </w:rPr>
        <w:t xml:space="preserve"> la garde de l</w:t>
      </w:r>
      <w:r w:rsidR="00E267AB" w:rsidRPr="00E267AB">
        <w:rPr>
          <w:lang w:val="fr-FR"/>
        </w:rPr>
        <w:t>’</w:t>
      </w:r>
      <w:r w:rsidR="00441EDD" w:rsidRPr="00E267AB">
        <w:rPr>
          <w:lang w:val="fr-FR"/>
        </w:rPr>
        <w:t xml:space="preserve">enfant </w:t>
      </w:r>
      <w:r w:rsidRPr="00E267AB">
        <w:rPr>
          <w:lang w:val="fr-FR"/>
        </w:rPr>
        <w:t xml:space="preserve">aux grands-parents paternels. Le requérant a dénoncé à plusieurs reprises le comportement de N.R. et </w:t>
      </w:r>
      <w:r w:rsidR="00441EDD" w:rsidRPr="00E267AB">
        <w:rPr>
          <w:lang w:val="fr-FR"/>
        </w:rPr>
        <w:t xml:space="preserve">a </w:t>
      </w:r>
      <w:r w:rsidRPr="00E267AB">
        <w:rPr>
          <w:lang w:val="fr-FR"/>
        </w:rPr>
        <w:t>demandé aux juridictions de lui confier la garde de l</w:t>
      </w:r>
      <w:r w:rsidR="00E267AB" w:rsidRPr="00E267AB">
        <w:rPr>
          <w:lang w:val="fr-FR"/>
        </w:rPr>
        <w:t>’</w:t>
      </w:r>
      <w:r w:rsidRPr="00E267AB">
        <w:rPr>
          <w:lang w:val="fr-FR"/>
        </w:rPr>
        <w:t>enfant afin de protéger celle-ci de l</w:t>
      </w:r>
      <w:r w:rsidR="00E267AB" w:rsidRPr="00E267AB">
        <w:rPr>
          <w:lang w:val="fr-FR"/>
        </w:rPr>
        <w:t>’</w:t>
      </w:r>
      <w:r w:rsidRPr="00E267AB">
        <w:rPr>
          <w:lang w:val="fr-FR"/>
        </w:rPr>
        <w:t>influence de la mère. Si la cour d</w:t>
      </w:r>
      <w:r w:rsidR="00E267AB" w:rsidRPr="00E267AB">
        <w:rPr>
          <w:lang w:val="fr-FR"/>
        </w:rPr>
        <w:t>’</w:t>
      </w:r>
      <w:r w:rsidRPr="00E267AB">
        <w:rPr>
          <w:lang w:val="fr-FR"/>
        </w:rPr>
        <w:t>appel a confié, en novembre 2010, la garde de l</w:t>
      </w:r>
      <w:r w:rsidR="00E267AB" w:rsidRPr="00E267AB">
        <w:rPr>
          <w:lang w:val="fr-FR"/>
        </w:rPr>
        <w:t>’</w:t>
      </w:r>
      <w:r w:rsidRPr="00E267AB">
        <w:rPr>
          <w:lang w:val="fr-FR"/>
        </w:rPr>
        <w:t>enfant aux services sociaux, elle a</w:t>
      </w:r>
      <w:r w:rsidR="00466BBB" w:rsidRPr="00E267AB">
        <w:rPr>
          <w:lang w:val="fr-FR"/>
        </w:rPr>
        <w:t>,</w:t>
      </w:r>
      <w:r w:rsidRPr="00E267AB">
        <w:rPr>
          <w:lang w:val="fr-FR"/>
        </w:rPr>
        <w:t xml:space="preserve"> </w:t>
      </w:r>
      <w:r w:rsidR="00F76FE3" w:rsidRPr="00E267AB">
        <w:rPr>
          <w:lang w:val="fr-FR"/>
        </w:rPr>
        <w:t>toutefois</w:t>
      </w:r>
      <w:r w:rsidR="00466BBB" w:rsidRPr="00E267AB">
        <w:rPr>
          <w:lang w:val="fr-FR"/>
        </w:rPr>
        <w:t>,</w:t>
      </w:r>
      <w:r w:rsidR="00F76FE3" w:rsidRPr="00E267AB">
        <w:rPr>
          <w:lang w:val="fr-FR"/>
        </w:rPr>
        <w:t xml:space="preserve"> </w:t>
      </w:r>
      <w:r w:rsidR="00CC6F1C" w:rsidRPr="00E267AB">
        <w:rPr>
          <w:lang w:val="fr-FR"/>
        </w:rPr>
        <w:t>maintenu</w:t>
      </w:r>
      <w:r w:rsidRPr="00E267AB">
        <w:rPr>
          <w:lang w:val="fr-FR"/>
        </w:rPr>
        <w:t xml:space="preserve"> </w:t>
      </w:r>
      <w:r w:rsidR="00056497" w:rsidRPr="00E267AB">
        <w:rPr>
          <w:lang w:val="fr-FR"/>
        </w:rPr>
        <w:t>l</w:t>
      </w:r>
      <w:r w:rsidRPr="00E267AB">
        <w:rPr>
          <w:lang w:val="fr-FR"/>
        </w:rPr>
        <w:t xml:space="preserve">a résidence principale </w:t>
      </w:r>
      <w:r w:rsidR="00056497" w:rsidRPr="00E267AB">
        <w:rPr>
          <w:lang w:val="fr-FR"/>
        </w:rPr>
        <w:t xml:space="preserve">de la mineure </w:t>
      </w:r>
      <w:r w:rsidRPr="00E267AB">
        <w:rPr>
          <w:lang w:val="fr-FR"/>
        </w:rPr>
        <w:t>chez la mère.</w:t>
      </w:r>
    </w:p>
    <w:p w:rsidR="003C365E" w:rsidRPr="00E267AB" w:rsidRDefault="00AE7FC5" w:rsidP="00E267AB">
      <w:pPr>
        <w:pStyle w:val="ECHRPara"/>
        <w:rPr>
          <w:rFonts w:ascii="Times New Roman" w:hAnsi="Times New Roman" w:cs="Times New Roman"/>
          <w:szCs w:val="24"/>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117</w:t>
      </w:r>
      <w:r w:rsidRPr="00E267AB">
        <w:rPr>
          <w:lang w:val="fr-FR"/>
        </w:rPr>
        <w:fldChar w:fldCharType="end"/>
      </w:r>
      <w:r w:rsidRPr="00E267AB">
        <w:rPr>
          <w:lang w:val="fr-FR"/>
        </w:rPr>
        <w:t>.  </w:t>
      </w:r>
      <w:r w:rsidR="00056497" w:rsidRPr="00E267AB">
        <w:rPr>
          <w:lang w:val="fr-FR"/>
        </w:rPr>
        <w:t>La Cour note également que, p</w:t>
      </w:r>
      <w:r w:rsidR="007914FC" w:rsidRPr="00E267AB">
        <w:rPr>
          <w:rFonts w:ascii="Times New Roman" w:hAnsi="Times New Roman" w:cs="Times New Roman"/>
          <w:szCs w:val="24"/>
          <w:lang w:val="fr-FR"/>
        </w:rPr>
        <w:t>ar la suite, les rapports d</w:t>
      </w:r>
      <w:r w:rsidR="00E267AB" w:rsidRPr="00E267AB">
        <w:rPr>
          <w:rFonts w:ascii="Times New Roman" w:hAnsi="Times New Roman" w:cs="Times New Roman"/>
          <w:szCs w:val="24"/>
          <w:lang w:val="fr-FR"/>
        </w:rPr>
        <w:t>’</w:t>
      </w:r>
      <w:r w:rsidR="007914FC" w:rsidRPr="00E267AB">
        <w:rPr>
          <w:rFonts w:ascii="Times New Roman" w:hAnsi="Times New Roman" w:cs="Times New Roman"/>
          <w:szCs w:val="24"/>
          <w:lang w:val="fr-FR"/>
        </w:rPr>
        <w:t>évaluation et d</w:t>
      </w:r>
      <w:r w:rsidR="00E267AB" w:rsidRPr="00E267AB">
        <w:rPr>
          <w:rFonts w:ascii="Times New Roman" w:hAnsi="Times New Roman" w:cs="Times New Roman"/>
          <w:szCs w:val="24"/>
          <w:lang w:val="fr-FR"/>
        </w:rPr>
        <w:t>’</w:t>
      </w:r>
      <w:r w:rsidR="007914FC" w:rsidRPr="00E267AB">
        <w:rPr>
          <w:rFonts w:ascii="Times New Roman" w:hAnsi="Times New Roman" w:cs="Times New Roman"/>
          <w:szCs w:val="24"/>
          <w:lang w:val="fr-FR"/>
        </w:rPr>
        <w:t xml:space="preserve">expertise déposés en 2011 et 2012 ont </w:t>
      </w:r>
      <w:r w:rsidR="00460678" w:rsidRPr="00E267AB">
        <w:rPr>
          <w:rFonts w:ascii="Times New Roman" w:hAnsi="Times New Roman" w:cs="Times New Roman"/>
          <w:szCs w:val="24"/>
          <w:lang w:val="fr-FR"/>
        </w:rPr>
        <w:t>établi</w:t>
      </w:r>
      <w:r w:rsidR="007914FC" w:rsidRPr="00E267AB">
        <w:rPr>
          <w:rFonts w:ascii="Times New Roman" w:hAnsi="Times New Roman" w:cs="Times New Roman"/>
          <w:szCs w:val="24"/>
          <w:lang w:val="fr-FR"/>
        </w:rPr>
        <w:t xml:space="preserve"> que l</w:t>
      </w:r>
      <w:r w:rsidR="00E267AB" w:rsidRPr="00E267AB">
        <w:rPr>
          <w:rFonts w:ascii="Times New Roman" w:hAnsi="Times New Roman" w:cs="Times New Roman"/>
          <w:szCs w:val="24"/>
          <w:lang w:val="fr-FR"/>
        </w:rPr>
        <w:t>’</w:t>
      </w:r>
      <w:r w:rsidR="007914FC" w:rsidRPr="00E267AB">
        <w:rPr>
          <w:rFonts w:ascii="Times New Roman" w:hAnsi="Times New Roman" w:cs="Times New Roman"/>
          <w:szCs w:val="24"/>
          <w:lang w:val="fr-FR"/>
        </w:rPr>
        <w:t xml:space="preserve">enfant vivait dans un environnement hostile </w:t>
      </w:r>
      <w:r w:rsidR="00460678" w:rsidRPr="00E267AB">
        <w:rPr>
          <w:rFonts w:ascii="Times New Roman" w:hAnsi="Times New Roman" w:cs="Times New Roman"/>
          <w:szCs w:val="24"/>
          <w:lang w:val="fr-FR"/>
        </w:rPr>
        <w:t>à son père</w:t>
      </w:r>
      <w:r w:rsidR="00056497" w:rsidRPr="00E267AB">
        <w:rPr>
          <w:rFonts w:ascii="Times New Roman" w:hAnsi="Times New Roman" w:cs="Times New Roman"/>
          <w:szCs w:val="24"/>
          <w:lang w:val="fr-FR"/>
        </w:rPr>
        <w:t xml:space="preserve"> et</w:t>
      </w:r>
      <w:r w:rsidR="007914FC" w:rsidRPr="00E267AB">
        <w:rPr>
          <w:rFonts w:ascii="Times New Roman" w:hAnsi="Times New Roman" w:cs="Times New Roman"/>
          <w:szCs w:val="24"/>
          <w:lang w:val="fr-FR"/>
        </w:rPr>
        <w:t xml:space="preserve"> était victime d</w:t>
      </w:r>
      <w:r w:rsidR="00E267AB" w:rsidRPr="00E267AB">
        <w:rPr>
          <w:rFonts w:ascii="Times New Roman" w:hAnsi="Times New Roman" w:cs="Times New Roman"/>
          <w:szCs w:val="24"/>
          <w:lang w:val="fr-FR"/>
        </w:rPr>
        <w:t>’</w:t>
      </w:r>
      <w:r w:rsidR="007914FC" w:rsidRPr="00E267AB">
        <w:rPr>
          <w:rFonts w:ascii="Times New Roman" w:hAnsi="Times New Roman" w:cs="Times New Roman"/>
          <w:szCs w:val="24"/>
          <w:lang w:val="fr-FR"/>
        </w:rPr>
        <w:t xml:space="preserve">un abus émotionnel </w:t>
      </w:r>
      <w:r w:rsidR="00056497" w:rsidRPr="00E267AB">
        <w:rPr>
          <w:rFonts w:ascii="Times New Roman" w:hAnsi="Times New Roman" w:cs="Times New Roman"/>
          <w:szCs w:val="24"/>
          <w:lang w:val="fr-FR"/>
        </w:rPr>
        <w:t>de la part de s</w:t>
      </w:r>
      <w:r w:rsidR="007914FC" w:rsidRPr="00E267AB">
        <w:rPr>
          <w:rFonts w:ascii="Times New Roman" w:hAnsi="Times New Roman" w:cs="Times New Roman"/>
          <w:szCs w:val="24"/>
          <w:lang w:val="fr-FR"/>
        </w:rPr>
        <w:t xml:space="preserve">a mère et </w:t>
      </w:r>
      <w:r w:rsidR="00FC4AB1" w:rsidRPr="00E267AB">
        <w:rPr>
          <w:rFonts w:ascii="Times New Roman" w:hAnsi="Times New Roman" w:cs="Times New Roman"/>
          <w:szCs w:val="24"/>
          <w:lang w:val="fr-FR"/>
        </w:rPr>
        <w:t>qu</w:t>
      </w:r>
      <w:r w:rsidR="00E267AB" w:rsidRPr="00E267AB">
        <w:rPr>
          <w:rFonts w:ascii="Times New Roman" w:hAnsi="Times New Roman" w:cs="Times New Roman"/>
          <w:szCs w:val="24"/>
          <w:lang w:val="fr-FR"/>
        </w:rPr>
        <w:t>’</w:t>
      </w:r>
      <w:r w:rsidR="00FC4AB1" w:rsidRPr="00E267AB">
        <w:rPr>
          <w:rFonts w:ascii="Times New Roman" w:hAnsi="Times New Roman" w:cs="Times New Roman"/>
          <w:szCs w:val="24"/>
          <w:lang w:val="fr-FR"/>
        </w:rPr>
        <w:t xml:space="preserve">ils </w:t>
      </w:r>
      <w:r w:rsidR="007914FC" w:rsidRPr="00E267AB">
        <w:rPr>
          <w:rFonts w:ascii="Times New Roman" w:hAnsi="Times New Roman" w:cs="Times New Roman"/>
          <w:szCs w:val="24"/>
          <w:lang w:val="fr-FR"/>
        </w:rPr>
        <w:t>ont suggéré son placement chez les grand</w:t>
      </w:r>
      <w:r w:rsidR="00FC4AB1" w:rsidRPr="00E267AB">
        <w:rPr>
          <w:rFonts w:ascii="Times New Roman" w:hAnsi="Times New Roman" w:cs="Times New Roman"/>
          <w:szCs w:val="24"/>
          <w:lang w:val="fr-FR"/>
        </w:rPr>
        <w:t>s</w:t>
      </w:r>
      <w:r w:rsidR="00FC4AB1" w:rsidRPr="00E267AB">
        <w:rPr>
          <w:rFonts w:ascii="Times New Roman" w:hAnsi="Times New Roman" w:cs="Times New Roman"/>
          <w:szCs w:val="24"/>
          <w:lang w:val="fr-FR"/>
        </w:rPr>
        <w:noBreakHyphen/>
      </w:r>
      <w:r w:rsidR="007914FC" w:rsidRPr="00E267AB">
        <w:rPr>
          <w:rFonts w:ascii="Times New Roman" w:hAnsi="Times New Roman" w:cs="Times New Roman"/>
          <w:szCs w:val="24"/>
          <w:lang w:val="fr-FR"/>
        </w:rPr>
        <w:t>parents paternels. Cette dernière proposition a été réitérée également</w:t>
      </w:r>
      <w:r w:rsidR="003C365E" w:rsidRPr="00E267AB">
        <w:rPr>
          <w:rFonts w:ascii="Times New Roman" w:hAnsi="Times New Roman" w:cs="Times New Roman"/>
          <w:szCs w:val="24"/>
          <w:lang w:val="fr-FR"/>
        </w:rPr>
        <w:t xml:space="preserve"> </w:t>
      </w:r>
      <w:r w:rsidR="007914FC" w:rsidRPr="00E267AB">
        <w:rPr>
          <w:rFonts w:ascii="Times New Roman" w:hAnsi="Times New Roman" w:cs="Times New Roman"/>
          <w:szCs w:val="24"/>
          <w:lang w:val="fr-FR"/>
        </w:rPr>
        <w:t xml:space="preserve">par le procureur en janvier 2013. </w:t>
      </w:r>
      <w:r w:rsidR="00460678" w:rsidRPr="00E267AB">
        <w:rPr>
          <w:rFonts w:ascii="Times New Roman" w:hAnsi="Times New Roman" w:cs="Times New Roman"/>
          <w:szCs w:val="24"/>
          <w:lang w:val="fr-FR"/>
        </w:rPr>
        <w:t>Or, même si</w:t>
      </w:r>
      <w:r w:rsidR="00B25805" w:rsidRPr="00E267AB">
        <w:rPr>
          <w:rFonts w:ascii="Times New Roman" w:hAnsi="Times New Roman" w:cs="Times New Roman"/>
          <w:szCs w:val="24"/>
          <w:lang w:val="fr-FR"/>
        </w:rPr>
        <w:t xml:space="preserve">, dans sa décision du 25 février </w:t>
      </w:r>
      <w:r w:rsidR="00B25805" w:rsidRPr="00E267AB">
        <w:rPr>
          <w:rFonts w:ascii="Times New Roman" w:hAnsi="Times New Roman" w:cs="Times New Roman"/>
          <w:szCs w:val="24"/>
          <w:lang w:val="fr-FR"/>
        </w:rPr>
        <w:lastRenderedPageBreak/>
        <w:t>2014,</w:t>
      </w:r>
      <w:r w:rsidR="008861C6" w:rsidRPr="00E267AB">
        <w:rPr>
          <w:rFonts w:ascii="Times New Roman" w:hAnsi="Times New Roman" w:cs="Times New Roman"/>
          <w:szCs w:val="24"/>
          <w:lang w:val="fr-FR"/>
        </w:rPr>
        <w:t xml:space="preserve"> la cour d</w:t>
      </w:r>
      <w:r w:rsidR="00E267AB" w:rsidRPr="00E267AB">
        <w:rPr>
          <w:rFonts w:ascii="Times New Roman" w:hAnsi="Times New Roman" w:cs="Times New Roman"/>
          <w:szCs w:val="24"/>
          <w:lang w:val="fr-FR"/>
        </w:rPr>
        <w:t>’</w:t>
      </w:r>
      <w:r w:rsidR="008861C6" w:rsidRPr="00E267AB">
        <w:rPr>
          <w:rFonts w:ascii="Times New Roman" w:hAnsi="Times New Roman" w:cs="Times New Roman"/>
          <w:szCs w:val="24"/>
          <w:lang w:val="fr-FR"/>
        </w:rPr>
        <w:t>appel a octroyé aux</w:t>
      </w:r>
      <w:r w:rsidR="00460678" w:rsidRPr="00E267AB">
        <w:rPr>
          <w:rFonts w:ascii="Times New Roman" w:hAnsi="Times New Roman" w:cs="Times New Roman"/>
          <w:szCs w:val="24"/>
          <w:lang w:val="fr-FR"/>
        </w:rPr>
        <w:t xml:space="preserve"> services sociaux le pouvoir d</w:t>
      </w:r>
      <w:r w:rsidR="00E267AB" w:rsidRPr="00E267AB">
        <w:rPr>
          <w:rFonts w:ascii="Times New Roman" w:hAnsi="Times New Roman" w:cs="Times New Roman"/>
          <w:szCs w:val="24"/>
          <w:lang w:val="fr-FR"/>
        </w:rPr>
        <w:t>’</w:t>
      </w:r>
      <w:r w:rsidR="00460678" w:rsidRPr="00E267AB">
        <w:rPr>
          <w:rFonts w:ascii="Times New Roman" w:hAnsi="Times New Roman" w:cs="Times New Roman"/>
          <w:szCs w:val="24"/>
          <w:lang w:val="fr-FR"/>
        </w:rPr>
        <w:t>éloigner l</w:t>
      </w:r>
      <w:r w:rsidR="00E267AB" w:rsidRPr="00E267AB">
        <w:rPr>
          <w:rFonts w:ascii="Times New Roman" w:hAnsi="Times New Roman" w:cs="Times New Roman"/>
          <w:szCs w:val="24"/>
          <w:lang w:val="fr-FR"/>
        </w:rPr>
        <w:t>’</w:t>
      </w:r>
      <w:r w:rsidR="00460678" w:rsidRPr="00E267AB">
        <w:rPr>
          <w:rFonts w:ascii="Times New Roman" w:hAnsi="Times New Roman" w:cs="Times New Roman"/>
          <w:szCs w:val="24"/>
          <w:lang w:val="fr-FR"/>
        </w:rPr>
        <w:t>enfant du domicile de sa mère « si nécessaire » (paragraphe 57 ci-dessus), ni cette juridiction ni le</w:t>
      </w:r>
      <w:r w:rsidR="007914FC" w:rsidRPr="00E267AB">
        <w:rPr>
          <w:rFonts w:ascii="Times New Roman" w:hAnsi="Times New Roman" w:cs="Times New Roman"/>
          <w:szCs w:val="24"/>
          <w:lang w:val="fr-FR"/>
        </w:rPr>
        <w:t xml:space="preserve"> tribunal pour enfants</w:t>
      </w:r>
      <w:r w:rsidR="00466BBB" w:rsidRPr="00E267AB">
        <w:rPr>
          <w:rFonts w:ascii="Times New Roman" w:hAnsi="Times New Roman" w:cs="Times New Roman"/>
          <w:szCs w:val="24"/>
          <w:lang w:val="fr-FR"/>
        </w:rPr>
        <w:t>,</w:t>
      </w:r>
      <w:r w:rsidR="00460678" w:rsidRPr="00E267AB">
        <w:rPr>
          <w:rFonts w:ascii="Times New Roman" w:hAnsi="Times New Roman" w:cs="Times New Roman"/>
          <w:szCs w:val="24"/>
          <w:lang w:val="fr-FR"/>
        </w:rPr>
        <w:t xml:space="preserve"> qui s</w:t>
      </w:r>
      <w:r w:rsidR="00E267AB" w:rsidRPr="00E267AB">
        <w:rPr>
          <w:rFonts w:ascii="Times New Roman" w:hAnsi="Times New Roman" w:cs="Times New Roman"/>
          <w:szCs w:val="24"/>
          <w:lang w:val="fr-FR"/>
        </w:rPr>
        <w:t>’</w:t>
      </w:r>
      <w:r w:rsidR="00460678" w:rsidRPr="00E267AB">
        <w:rPr>
          <w:rFonts w:ascii="Times New Roman" w:hAnsi="Times New Roman" w:cs="Times New Roman"/>
          <w:szCs w:val="24"/>
          <w:lang w:val="fr-FR"/>
        </w:rPr>
        <w:t>était prononcé en</w:t>
      </w:r>
      <w:r w:rsidR="007914FC" w:rsidRPr="00E267AB">
        <w:rPr>
          <w:rFonts w:ascii="Times New Roman" w:hAnsi="Times New Roman" w:cs="Times New Roman"/>
          <w:szCs w:val="24"/>
          <w:lang w:val="fr-FR"/>
        </w:rPr>
        <w:t xml:space="preserve"> avril 2013</w:t>
      </w:r>
      <w:r w:rsidR="00466BBB" w:rsidRPr="00E267AB">
        <w:rPr>
          <w:rFonts w:ascii="Times New Roman" w:hAnsi="Times New Roman" w:cs="Times New Roman"/>
          <w:szCs w:val="24"/>
          <w:lang w:val="fr-FR"/>
        </w:rPr>
        <w:t>,</w:t>
      </w:r>
      <w:r w:rsidR="00460678" w:rsidRPr="00E267AB">
        <w:rPr>
          <w:rFonts w:ascii="Times New Roman" w:hAnsi="Times New Roman" w:cs="Times New Roman"/>
          <w:szCs w:val="24"/>
          <w:lang w:val="fr-FR"/>
        </w:rPr>
        <w:t xml:space="preserve"> </w:t>
      </w:r>
      <w:r w:rsidR="007914FC" w:rsidRPr="00E267AB">
        <w:rPr>
          <w:rFonts w:ascii="Times New Roman" w:hAnsi="Times New Roman" w:cs="Times New Roman"/>
          <w:szCs w:val="24"/>
          <w:lang w:val="fr-FR"/>
        </w:rPr>
        <w:t>n</w:t>
      </w:r>
      <w:r w:rsidR="00E267AB" w:rsidRPr="00E267AB">
        <w:rPr>
          <w:rFonts w:ascii="Times New Roman" w:hAnsi="Times New Roman" w:cs="Times New Roman"/>
          <w:szCs w:val="24"/>
          <w:lang w:val="fr-FR"/>
        </w:rPr>
        <w:t>’</w:t>
      </w:r>
      <w:r w:rsidR="007914FC" w:rsidRPr="00E267AB">
        <w:rPr>
          <w:rFonts w:ascii="Times New Roman" w:hAnsi="Times New Roman" w:cs="Times New Roman"/>
          <w:szCs w:val="24"/>
          <w:lang w:val="fr-FR"/>
        </w:rPr>
        <w:t>ont ordonné un changement de la résidence principale de l</w:t>
      </w:r>
      <w:r w:rsidR="00E267AB" w:rsidRPr="00E267AB">
        <w:rPr>
          <w:rFonts w:ascii="Times New Roman" w:hAnsi="Times New Roman" w:cs="Times New Roman"/>
          <w:szCs w:val="24"/>
          <w:lang w:val="fr-FR"/>
        </w:rPr>
        <w:t>’</w:t>
      </w:r>
      <w:r w:rsidR="007914FC" w:rsidRPr="00E267AB">
        <w:rPr>
          <w:rFonts w:ascii="Times New Roman" w:hAnsi="Times New Roman" w:cs="Times New Roman"/>
          <w:szCs w:val="24"/>
          <w:lang w:val="fr-FR"/>
        </w:rPr>
        <w:t>enfant</w:t>
      </w:r>
      <w:r w:rsidR="00460678" w:rsidRPr="00E267AB">
        <w:rPr>
          <w:rFonts w:ascii="Times New Roman" w:hAnsi="Times New Roman" w:cs="Times New Roman"/>
          <w:szCs w:val="24"/>
          <w:lang w:val="fr-FR"/>
        </w:rPr>
        <w:t>.</w:t>
      </w:r>
    </w:p>
    <w:p w:rsidR="003C365E" w:rsidRPr="00E267AB" w:rsidRDefault="00AE7FC5"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118</w:t>
      </w:r>
      <w:r w:rsidRPr="00E267AB">
        <w:rPr>
          <w:lang w:val="fr-FR"/>
        </w:rPr>
        <w:fldChar w:fldCharType="end"/>
      </w:r>
      <w:r w:rsidRPr="00E267AB">
        <w:rPr>
          <w:lang w:val="fr-FR"/>
        </w:rPr>
        <w:t xml:space="preserve">.  La </w:t>
      </w:r>
      <w:r w:rsidR="00FC4AB1" w:rsidRPr="00E267AB">
        <w:rPr>
          <w:lang w:val="fr-FR"/>
        </w:rPr>
        <w:t xml:space="preserve">Cour observe que la </w:t>
      </w:r>
      <w:r w:rsidRPr="00E267AB">
        <w:rPr>
          <w:lang w:val="fr-FR"/>
        </w:rPr>
        <w:t>situation a ainsi perduré jusqu</w:t>
      </w:r>
      <w:r w:rsidR="00E267AB" w:rsidRPr="00E267AB">
        <w:rPr>
          <w:lang w:val="fr-FR"/>
        </w:rPr>
        <w:t>’</w:t>
      </w:r>
      <w:r w:rsidRPr="00E267AB">
        <w:rPr>
          <w:lang w:val="fr-FR"/>
        </w:rPr>
        <w:t>au 2013</w:t>
      </w:r>
      <w:r w:rsidR="00FC4AB1" w:rsidRPr="00E267AB">
        <w:rPr>
          <w:lang w:val="fr-FR"/>
        </w:rPr>
        <w:t>. E</w:t>
      </w:r>
      <w:r w:rsidR="00035242" w:rsidRPr="00E267AB">
        <w:rPr>
          <w:lang w:val="fr-FR"/>
        </w:rPr>
        <w:t>n effet, six ans</w:t>
      </w:r>
      <w:r w:rsidRPr="00E267AB">
        <w:rPr>
          <w:lang w:val="fr-FR"/>
        </w:rPr>
        <w:t xml:space="preserve"> après la séparation </w:t>
      </w:r>
      <w:r w:rsidR="00035242" w:rsidRPr="00E267AB">
        <w:rPr>
          <w:lang w:val="fr-FR"/>
        </w:rPr>
        <w:t>de</w:t>
      </w:r>
      <w:r w:rsidRPr="00E267AB">
        <w:rPr>
          <w:lang w:val="fr-FR"/>
        </w:rPr>
        <w:t xml:space="preserve"> </w:t>
      </w:r>
      <w:r w:rsidR="00035242" w:rsidRPr="00E267AB">
        <w:rPr>
          <w:lang w:val="fr-FR"/>
        </w:rPr>
        <w:t xml:space="preserve">ses </w:t>
      </w:r>
      <w:r w:rsidRPr="00E267AB">
        <w:rPr>
          <w:lang w:val="fr-FR"/>
        </w:rPr>
        <w:t>parents</w:t>
      </w:r>
      <w:r w:rsidR="00035242" w:rsidRPr="00E267AB">
        <w:rPr>
          <w:lang w:val="fr-FR"/>
        </w:rPr>
        <w:t>, l</w:t>
      </w:r>
      <w:r w:rsidR="00E267AB" w:rsidRPr="00E267AB">
        <w:rPr>
          <w:lang w:val="fr-FR"/>
        </w:rPr>
        <w:t>’</w:t>
      </w:r>
      <w:r w:rsidR="00035242" w:rsidRPr="00E267AB">
        <w:rPr>
          <w:lang w:val="fr-FR"/>
        </w:rPr>
        <w:t>enfant, qui, faute de véritable relation avec son père, continuait à vivre</w:t>
      </w:r>
      <w:r w:rsidRPr="00E267AB">
        <w:rPr>
          <w:lang w:val="fr-FR"/>
        </w:rPr>
        <w:t xml:space="preserve"> dans un environnement hostile </w:t>
      </w:r>
      <w:r w:rsidR="00907593" w:rsidRPr="00E267AB">
        <w:rPr>
          <w:lang w:val="fr-FR"/>
        </w:rPr>
        <w:t>à ce dernier</w:t>
      </w:r>
      <w:r w:rsidRPr="00E267AB">
        <w:rPr>
          <w:lang w:val="fr-FR"/>
        </w:rPr>
        <w:t xml:space="preserve">, </w:t>
      </w:r>
      <w:r w:rsidR="00035242" w:rsidRPr="00E267AB">
        <w:rPr>
          <w:lang w:val="fr-FR"/>
        </w:rPr>
        <w:t>refus</w:t>
      </w:r>
      <w:r w:rsidR="00907593" w:rsidRPr="00E267AB">
        <w:rPr>
          <w:lang w:val="fr-FR"/>
        </w:rPr>
        <w:t>ait</w:t>
      </w:r>
      <w:r w:rsidR="00035242" w:rsidRPr="00E267AB">
        <w:rPr>
          <w:lang w:val="fr-FR"/>
        </w:rPr>
        <w:t xml:space="preserve"> même de </w:t>
      </w:r>
      <w:r w:rsidR="00AF4F84" w:rsidRPr="00E267AB">
        <w:rPr>
          <w:lang w:val="fr-FR"/>
        </w:rPr>
        <w:t xml:space="preserve">lui </w:t>
      </w:r>
      <w:r w:rsidR="00035242" w:rsidRPr="00E267AB">
        <w:rPr>
          <w:lang w:val="fr-FR"/>
        </w:rPr>
        <w:t>parler. Selon</w:t>
      </w:r>
      <w:r w:rsidRPr="00E267AB">
        <w:rPr>
          <w:lang w:val="fr-FR"/>
        </w:rPr>
        <w:t xml:space="preserve"> les derniers rapports déposés par les services sociaux, tout contact entre le requérant et l</w:t>
      </w:r>
      <w:r w:rsidR="00E267AB" w:rsidRPr="00E267AB">
        <w:rPr>
          <w:lang w:val="fr-FR"/>
        </w:rPr>
        <w:t>’</w:t>
      </w:r>
      <w:r w:rsidRPr="00E267AB">
        <w:rPr>
          <w:lang w:val="fr-FR"/>
        </w:rPr>
        <w:t>enfant s</w:t>
      </w:r>
      <w:r w:rsidR="00E267AB" w:rsidRPr="00E267AB">
        <w:rPr>
          <w:lang w:val="fr-FR"/>
        </w:rPr>
        <w:t>’</w:t>
      </w:r>
      <w:r w:rsidRPr="00E267AB">
        <w:rPr>
          <w:lang w:val="fr-FR"/>
        </w:rPr>
        <w:t>avère</w:t>
      </w:r>
      <w:r w:rsidR="00035242" w:rsidRPr="00E267AB">
        <w:rPr>
          <w:lang w:val="fr-FR"/>
        </w:rPr>
        <w:t>,</w:t>
      </w:r>
      <w:r w:rsidRPr="00E267AB">
        <w:rPr>
          <w:lang w:val="fr-FR"/>
        </w:rPr>
        <w:t xml:space="preserve"> </w:t>
      </w:r>
      <w:r w:rsidR="00035242" w:rsidRPr="00E267AB">
        <w:rPr>
          <w:lang w:val="fr-FR"/>
        </w:rPr>
        <w:t xml:space="preserve">par ailleurs, </w:t>
      </w:r>
      <w:r w:rsidRPr="00E267AB">
        <w:rPr>
          <w:lang w:val="fr-FR"/>
        </w:rPr>
        <w:t>impossible.</w:t>
      </w:r>
    </w:p>
    <w:p w:rsidR="00AE7FC5" w:rsidRPr="00E267AB" w:rsidRDefault="00AE7FC5"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119</w:t>
      </w:r>
      <w:r w:rsidRPr="00E267AB">
        <w:rPr>
          <w:lang w:val="fr-FR"/>
        </w:rPr>
        <w:fldChar w:fldCharType="end"/>
      </w:r>
      <w:r w:rsidRPr="00E267AB">
        <w:rPr>
          <w:lang w:val="fr-FR"/>
        </w:rPr>
        <w:t xml:space="preserve">.  Par conséquent, </w:t>
      </w:r>
      <w:r w:rsidR="00035242" w:rsidRPr="00E267AB">
        <w:rPr>
          <w:lang w:val="fr-FR"/>
        </w:rPr>
        <w:t xml:space="preserve">la Cour </w:t>
      </w:r>
      <w:r w:rsidR="00CC6F1C" w:rsidRPr="00E267AB">
        <w:rPr>
          <w:lang w:val="fr-FR"/>
        </w:rPr>
        <w:t>constate</w:t>
      </w:r>
      <w:r w:rsidR="00035242" w:rsidRPr="00E267AB">
        <w:rPr>
          <w:lang w:val="fr-FR"/>
        </w:rPr>
        <w:t xml:space="preserve"> que </w:t>
      </w:r>
      <w:r w:rsidRPr="00E267AB">
        <w:rPr>
          <w:lang w:val="fr-FR"/>
        </w:rPr>
        <w:t>la seule solution maintenant envisageable, selon le dernier rapport des psychologues, serait celle d</w:t>
      </w:r>
      <w:r w:rsidR="00E267AB" w:rsidRPr="00E267AB">
        <w:rPr>
          <w:lang w:val="fr-FR"/>
        </w:rPr>
        <w:t>’</w:t>
      </w:r>
      <w:r w:rsidRPr="00E267AB">
        <w:rPr>
          <w:lang w:val="fr-FR"/>
        </w:rPr>
        <w:t xml:space="preserve">un placement en institut afin de soustraire </w:t>
      </w:r>
      <w:r w:rsidR="00907593" w:rsidRPr="00E267AB">
        <w:rPr>
          <w:lang w:val="fr-FR"/>
        </w:rPr>
        <w:t>l</w:t>
      </w:r>
      <w:r w:rsidR="00E267AB" w:rsidRPr="00E267AB">
        <w:rPr>
          <w:lang w:val="fr-FR"/>
        </w:rPr>
        <w:t>’</w:t>
      </w:r>
      <w:r w:rsidR="00907593" w:rsidRPr="00E267AB">
        <w:rPr>
          <w:lang w:val="fr-FR"/>
        </w:rPr>
        <w:t xml:space="preserve">enfant </w:t>
      </w:r>
      <w:r w:rsidRPr="00E267AB">
        <w:rPr>
          <w:lang w:val="fr-FR"/>
        </w:rPr>
        <w:t>à l</w:t>
      </w:r>
      <w:r w:rsidR="00E267AB" w:rsidRPr="00E267AB">
        <w:rPr>
          <w:lang w:val="fr-FR"/>
        </w:rPr>
        <w:t>’</w:t>
      </w:r>
      <w:r w:rsidRPr="00E267AB">
        <w:rPr>
          <w:lang w:val="fr-FR"/>
        </w:rPr>
        <w:t>influence maternelle.</w:t>
      </w:r>
    </w:p>
    <w:p w:rsidR="006C0D49" w:rsidRPr="00E267AB" w:rsidRDefault="00AE7FC5"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120</w:t>
      </w:r>
      <w:r w:rsidRPr="00E267AB">
        <w:rPr>
          <w:lang w:val="fr-FR"/>
        </w:rPr>
        <w:fldChar w:fldCharType="end"/>
      </w:r>
      <w:r w:rsidRPr="00E267AB">
        <w:rPr>
          <w:lang w:val="fr-FR"/>
        </w:rPr>
        <w:t>.  La Cour rappelle qu</w:t>
      </w:r>
      <w:r w:rsidR="00E267AB" w:rsidRPr="00E267AB">
        <w:rPr>
          <w:lang w:val="fr-FR"/>
        </w:rPr>
        <w:t>’</w:t>
      </w:r>
      <w:r w:rsidRPr="00E267AB">
        <w:rPr>
          <w:lang w:val="fr-FR"/>
        </w:rPr>
        <w:t>il ne lui appartient pas de substituer son appréciation à celle des autorités nationales compétentes quant aux mesures qui auraient dû être prises, car ces autorités sont en principe mieux placées pour procéder à une telle évaluation, en particulier parce qu</w:t>
      </w:r>
      <w:r w:rsidR="00E267AB" w:rsidRPr="00E267AB">
        <w:rPr>
          <w:lang w:val="fr-FR"/>
        </w:rPr>
        <w:t>’</w:t>
      </w:r>
      <w:r w:rsidRPr="00E267AB">
        <w:rPr>
          <w:lang w:val="fr-FR"/>
        </w:rPr>
        <w:t>elles sont en contact direct avec le contexte de l</w:t>
      </w:r>
      <w:r w:rsidR="00E267AB" w:rsidRPr="00E267AB">
        <w:rPr>
          <w:lang w:val="fr-FR"/>
        </w:rPr>
        <w:t>’</w:t>
      </w:r>
      <w:r w:rsidRPr="00E267AB">
        <w:rPr>
          <w:lang w:val="fr-FR"/>
        </w:rPr>
        <w:t>affaire et les parties impliquées (</w:t>
      </w:r>
      <w:r w:rsidRPr="00E267AB">
        <w:rPr>
          <w:i/>
          <w:lang w:val="fr-FR"/>
        </w:rPr>
        <w:t>Reigado Ramos</w:t>
      </w:r>
      <w:r w:rsidRPr="00E267AB">
        <w:rPr>
          <w:lang w:val="fr-FR"/>
        </w:rPr>
        <w:t>, précité, § 53). Pour autant, elle ne peut en l</w:t>
      </w:r>
      <w:r w:rsidR="00E267AB" w:rsidRPr="00E267AB">
        <w:rPr>
          <w:lang w:val="fr-FR"/>
        </w:rPr>
        <w:t>’</w:t>
      </w:r>
      <w:r w:rsidRPr="00E267AB">
        <w:rPr>
          <w:lang w:val="fr-FR"/>
        </w:rPr>
        <w:t xml:space="preserve">espèce </w:t>
      </w:r>
      <w:r w:rsidR="00A01B44" w:rsidRPr="00E267AB">
        <w:rPr>
          <w:lang w:val="fr-FR"/>
        </w:rPr>
        <w:t>ignorer</w:t>
      </w:r>
      <w:r w:rsidR="002B07E5" w:rsidRPr="00E267AB">
        <w:rPr>
          <w:lang w:val="fr-FR"/>
        </w:rPr>
        <w:t xml:space="preserve"> les</w:t>
      </w:r>
      <w:r w:rsidRPr="00E267AB">
        <w:rPr>
          <w:lang w:val="fr-FR"/>
        </w:rPr>
        <w:t xml:space="preserve"> faits </w:t>
      </w:r>
      <w:r w:rsidR="002B07E5" w:rsidRPr="00E267AB">
        <w:rPr>
          <w:lang w:val="fr-FR"/>
        </w:rPr>
        <w:t>précédemment exposés (</w:t>
      </w:r>
      <w:r w:rsidRPr="00E267AB">
        <w:rPr>
          <w:lang w:val="fr-FR"/>
        </w:rPr>
        <w:t xml:space="preserve">paragraphes </w:t>
      </w:r>
      <w:r w:rsidR="00DA050E" w:rsidRPr="00E267AB">
        <w:rPr>
          <w:lang w:val="fr-FR"/>
        </w:rPr>
        <w:t>114-119</w:t>
      </w:r>
      <w:r w:rsidRPr="00E267AB">
        <w:rPr>
          <w:lang w:val="fr-FR"/>
        </w:rPr>
        <w:t xml:space="preserve"> ci-dessus</w:t>
      </w:r>
      <w:r w:rsidR="002B07E5" w:rsidRPr="00E267AB">
        <w:rPr>
          <w:lang w:val="fr-FR"/>
        </w:rPr>
        <w:t>)</w:t>
      </w:r>
      <w:r w:rsidRPr="00E267AB">
        <w:rPr>
          <w:lang w:val="fr-FR"/>
        </w:rPr>
        <w:t>. Le requérant a essayé d</w:t>
      </w:r>
      <w:r w:rsidR="00E267AB" w:rsidRPr="00E267AB">
        <w:rPr>
          <w:lang w:val="fr-FR"/>
        </w:rPr>
        <w:t>’</w:t>
      </w:r>
      <w:r w:rsidRPr="00E267AB">
        <w:rPr>
          <w:lang w:val="fr-FR"/>
        </w:rPr>
        <w:t>établir des contacts avec sa fille depuis 2007</w:t>
      </w:r>
      <w:r w:rsidR="002B07E5" w:rsidRPr="00E267AB">
        <w:rPr>
          <w:lang w:val="fr-FR"/>
        </w:rPr>
        <w:t>,</w:t>
      </w:r>
      <w:r w:rsidRPr="00E267AB">
        <w:rPr>
          <w:lang w:val="fr-FR"/>
        </w:rPr>
        <w:t xml:space="preserve"> et, en dépit des nombreu</w:t>
      </w:r>
      <w:r w:rsidR="00CF0B26" w:rsidRPr="00E267AB">
        <w:rPr>
          <w:lang w:val="fr-FR"/>
        </w:rPr>
        <w:t xml:space="preserve">ses </w:t>
      </w:r>
      <w:r w:rsidRPr="00E267AB">
        <w:rPr>
          <w:lang w:val="fr-FR"/>
        </w:rPr>
        <w:t xml:space="preserve">expertises et évaluations en sa faveur </w:t>
      </w:r>
      <w:r w:rsidR="00BC2BDC" w:rsidRPr="00E267AB">
        <w:rPr>
          <w:lang w:val="fr-FR"/>
        </w:rPr>
        <w:t>(</w:t>
      </w:r>
      <w:r w:rsidR="00CC6F1C" w:rsidRPr="00E267AB">
        <w:rPr>
          <w:lang w:val="fr-FR"/>
        </w:rPr>
        <w:t xml:space="preserve">qui </w:t>
      </w:r>
      <w:r w:rsidRPr="00E267AB">
        <w:rPr>
          <w:lang w:val="fr-FR"/>
        </w:rPr>
        <w:t>mettaient en lumière l</w:t>
      </w:r>
      <w:r w:rsidR="00E267AB" w:rsidRPr="00E267AB">
        <w:rPr>
          <w:lang w:val="fr-FR"/>
        </w:rPr>
        <w:t>’</w:t>
      </w:r>
      <w:r w:rsidRPr="00E267AB">
        <w:rPr>
          <w:lang w:val="fr-FR"/>
        </w:rPr>
        <w:t xml:space="preserve">influence néfaste de </w:t>
      </w:r>
      <w:r w:rsidR="002B07E5" w:rsidRPr="00E267AB">
        <w:rPr>
          <w:lang w:val="fr-FR"/>
        </w:rPr>
        <w:t>son ex-épouse</w:t>
      </w:r>
      <w:r w:rsidRPr="00E267AB">
        <w:rPr>
          <w:lang w:val="fr-FR"/>
        </w:rPr>
        <w:t xml:space="preserve"> et la nécessité d</w:t>
      </w:r>
      <w:r w:rsidR="00E267AB" w:rsidRPr="00E267AB">
        <w:rPr>
          <w:lang w:val="fr-FR"/>
        </w:rPr>
        <w:t>’</w:t>
      </w:r>
      <w:r w:rsidRPr="00E267AB">
        <w:rPr>
          <w:lang w:val="fr-FR"/>
        </w:rPr>
        <w:t xml:space="preserve">intervenir afin de préserver </w:t>
      </w:r>
      <w:r w:rsidR="00CC6F1C" w:rsidRPr="00E267AB">
        <w:rPr>
          <w:lang w:val="fr-FR"/>
        </w:rPr>
        <w:t>le</w:t>
      </w:r>
      <w:r w:rsidR="003C365E" w:rsidRPr="00E267AB">
        <w:rPr>
          <w:lang w:val="fr-FR"/>
        </w:rPr>
        <w:t xml:space="preserve"> </w:t>
      </w:r>
      <w:r w:rsidRPr="00E267AB">
        <w:rPr>
          <w:lang w:val="fr-FR"/>
        </w:rPr>
        <w:t>lien avec sa fille</w:t>
      </w:r>
      <w:r w:rsidR="00BC2BDC" w:rsidRPr="00E267AB">
        <w:rPr>
          <w:lang w:val="fr-FR"/>
        </w:rPr>
        <w:t>)</w:t>
      </w:r>
      <w:r w:rsidRPr="00E267AB">
        <w:rPr>
          <w:lang w:val="fr-FR"/>
        </w:rPr>
        <w:t>, les juridictions n</w:t>
      </w:r>
      <w:r w:rsidR="00E267AB" w:rsidRPr="00E267AB">
        <w:rPr>
          <w:lang w:val="fr-FR"/>
        </w:rPr>
        <w:t>’</w:t>
      </w:r>
      <w:r w:rsidRPr="00E267AB">
        <w:rPr>
          <w:lang w:val="fr-FR"/>
        </w:rPr>
        <w:t xml:space="preserve">ont pas trouvé </w:t>
      </w:r>
      <w:r w:rsidR="00CC6F1C" w:rsidRPr="00E267AB">
        <w:rPr>
          <w:lang w:val="fr-FR"/>
        </w:rPr>
        <w:t>de</w:t>
      </w:r>
      <w:r w:rsidRPr="00E267AB">
        <w:rPr>
          <w:lang w:val="fr-FR"/>
        </w:rPr>
        <w:t xml:space="preserve"> solution. L</w:t>
      </w:r>
      <w:r w:rsidR="00E267AB" w:rsidRPr="00E267AB">
        <w:rPr>
          <w:lang w:val="fr-FR"/>
        </w:rPr>
        <w:t>’</w:t>
      </w:r>
      <w:r w:rsidR="00A93934" w:rsidRPr="00E267AB">
        <w:rPr>
          <w:lang w:val="fr-FR"/>
        </w:rPr>
        <w:t>intéressé</w:t>
      </w:r>
      <w:r w:rsidRPr="00E267AB">
        <w:rPr>
          <w:lang w:val="fr-FR"/>
        </w:rPr>
        <w:t xml:space="preserve"> n</w:t>
      </w:r>
      <w:r w:rsidR="00E267AB" w:rsidRPr="00E267AB">
        <w:rPr>
          <w:lang w:val="fr-FR"/>
        </w:rPr>
        <w:t>’</w:t>
      </w:r>
      <w:r w:rsidRPr="00E267AB">
        <w:rPr>
          <w:lang w:val="fr-FR"/>
        </w:rPr>
        <w:t>a pu exercer son droit de visite que de manière très limitée en raison de l</w:t>
      </w:r>
      <w:r w:rsidR="00E267AB" w:rsidRPr="00E267AB">
        <w:rPr>
          <w:lang w:val="fr-FR"/>
        </w:rPr>
        <w:t>’</w:t>
      </w:r>
      <w:r w:rsidRPr="00E267AB">
        <w:rPr>
          <w:lang w:val="fr-FR"/>
        </w:rPr>
        <w:t>opposition de la mère de l</w:t>
      </w:r>
      <w:r w:rsidR="00E267AB" w:rsidRPr="00E267AB">
        <w:rPr>
          <w:lang w:val="fr-FR"/>
        </w:rPr>
        <w:t>’</w:t>
      </w:r>
      <w:r w:rsidRPr="00E267AB">
        <w:rPr>
          <w:lang w:val="fr-FR"/>
        </w:rPr>
        <w:t>enfant</w:t>
      </w:r>
      <w:r w:rsidR="002B07E5" w:rsidRPr="00E267AB">
        <w:rPr>
          <w:lang w:val="fr-FR"/>
        </w:rPr>
        <w:t>,</w:t>
      </w:r>
      <w:r w:rsidRPr="00E267AB">
        <w:rPr>
          <w:lang w:val="fr-FR"/>
        </w:rPr>
        <w:t xml:space="preserve"> et </w:t>
      </w:r>
      <w:r w:rsidR="00CF0B26" w:rsidRPr="00E267AB">
        <w:rPr>
          <w:lang w:val="fr-FR"/>
        </w:rPr>
        <w:t>ce</w:t>
      </w:r>
      <w:r w:rsidR="002B07E5" w:rsidRPr="00E267AB">
        <w:rPr>
          <w:lang w:val="fr-FR"/>
        </w:rPr>
        <w:t>lle-ci</w:t>
      </w:r>
      <w:r w:rsidRPr="00E267AB">
        <w:rPr>
          <w:lang w:val="fr-FR"/>
        </w:rPr>
        <w:t xml:space="preserve"> a </w:t>
      </w:r>
      <w:r w:rsidR="002B07E5" w:rsidRPr="00E267AB">
        <w:rPr>
          <w:lang w:val="fr-FR"/>
        </w:rPr>
        <w:t xml:space="preserve">ainsi </w:t>
      </w:r>
      <w:r w:rsidRPr="00E267AB">
        <w:rPr>
          <w:lang w:val="fr-FR"/>
        </w:rPr>
        <w:t>pu dresser la mineure contre lui et faire échouer tout projet de rapprochement envisagé.</w:t>
      </w:r>
    </w:p>
    <w:p w:rsidR="00AE7FC5" w:rsidRPr="00E267AB" w:rsidRDefault="00AE7FC5"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121</w:t>
      </w:r>
      <w:r w:rsidRPr="00E267AB">
        <w:rPr>
          <w:lang w:val="fr-FR"/>
        </w:rPr>
        <w:fldChar w:fldCharType="end"/>
      </w:r>
      <w:r w:rsidRPr="00E267AB">
        <w:rPr>
          <w:lang w:val="fr-FR"/>
        </w:rPr>
        <w:t>.  Certes, la Cour reconnaît que les autorités étaient confrontées en l</w:t>
      </w:r>
      <w:r w:rsidR="00E267AB" w:rsidRPr="00E267AB">
        <w:rPr>
          <w:lang w:val="fr-FR"/>
        </w:rPr>
        <w:t>’</w:t>
      </w:r>
      <w:r w:rsidRPr="00E267AB">
        <w:rPr>
          <w:lang w:val="fr-FR"/>
        </w:rPr>
        <w:t>espèce à une situation très difficile qui découlait notamment des tensions existant entre les parents de l</w:t>
      </w:r>
      <w:r w:rsidR="00E267AB" w:rsidRPr="00E267AB">
        <w:rPr>
          <w:lang w:val="fr-FR"/>
        </w:rPr>
        <w:t>’</w:t>
      </w:r>
      <w:r w:rsidRPr="00E267AB">
        <w:rPr>
          <w:lang w:val="fr-FR"/>
        </w:rPr>
        <w:t>enfant. Elle admet que la non-réalisation du droit de visite du requérant était imputable surtout au refus manifeste de la mère, puis à celui de l</w:t>
      </w:r>
      <w:r w:rsidR="00E267AB" w:rsidRPr="00E267AB">
        <w:rPr>
          <w:lang w:val="fr-FR"/>
        </w:rPr>
        <w:t>’</w:t>
      </w:r>
      <w:r w:rsidRPr="00E267AB">
        <w:rPr>
          <w:lang w:val="fr-FR"/>
        </w:rPr>
        <w:t>enfant, programmé par cette dernière. Cependant, un manque de coopération entre les parents séparés ne peut dispenser les autorités compétentes de mettre en œuvre tous les moyens susceptibles de permettre le maintien du lien familial (</w:t>
      </w:r>
      <w:r w:rsidRPr="00E267AB">
        <w:rPr>
          <w:i/>
          <w:lang w:val="fr-FR"/>
        </w:rPr>
        <w:t>Nicolò Santilli</w:t>
      </w:r>
      <w:r w:rsidRPr="00E267AB">
        <w:rPr>
          <w:lang w:val="fr-FR"/>
        </w:rPr>
        <w:t>, précité, § 74</w:t>
      </w:r>
      <w:r w:rsidR="006C0D49" w:rsidRPr="00E267AB">
        <w:rPr>
          <w:lang w:val="fr-FR"/>
        </w:rPr>
        <w:t> ;</w:t>
      </w:r>
      <w:r w:rsidRPr="00E267AB">
        <w:rPr>
          <w:lang w:val="fr-FR"/>
        </w:rPr>
        <w:t xml:space="preserve"> </w:t>
      </w:r>
      <w:r w:rsidRPr="00E267AB">
        <w:rPr>
          <w:i/>
          <w:lang w:val="fr-FR"/>
        </w:rPr>
        <w:t>Lombardo</w:t>
      </w:r>
      <w:r w:rsidRPr="00E267AB">
        <w:rPr>
          <w:lang w:val="fr-FR"/>
        </w:rPr>
        <w:t>, précité, § 91</w:t>
      </w:r>
      <w:r w:rsidR="006C0D49" w:rsidRPr="00E267AB">
        <w:rPr>
          <w:lang w:val="fr-FR"/>
        </w:rPr>
        <w:t> ;</w:t>
      </w:r>
      <w:r w:rsidRPr="00E267AB">
        <w:rPr>
          <w:lang w:val="fr-FR"/>
        </w:rPr>
        <w:t xml:space="preserve"> et</w:t>
      </w:r>
      <w:r w:rsidR="003C365E" w:rsidRPr="00E267AB">
        <w:rPr>
          <w:lang w:val="fr-FR"/>
        </w:rPr>
        <w:t xml:space="preserve"> </w:t>
      </w:r>
      <w:r w:rsidRPr="00E267AB">
        <w:rPr>
          <w:i/>
          <w:lang w:val="fr-FR"/>
        </w:rPr>
        <w:t>Zavřel</w:t>
      </w:r>
      <w:r w:rsidR="006C0D49" w:rsidRPr="00E267AB">
        <w:rPr>
          <w:lang w:val="fr-FR"/>
        </w:rPr>
        <w:t xml:space="preserve">, </w:t>
      </w:r>
      <w:r w:rsidRPr="00E267AB">
        <w:rPr>
          <w:lang w:val="fr-FR"/>
        </w:rPr>
        <w:t>précité, § 52).</w:t>
      </w:r>
    </w:p>
    <w:p w:rsidR="003C365E" w:rsidRPr="00E267AB" w:rsidRDefault="00AE7FC5"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122</w:t>
      </w:r>
      <w:r w:rsidRPr="00E267AB">
        <w:rPr>
          <w:lang w:val="fr-FR"/>
        </w:rPr>
        <w:fldChar w:fldCharType="end"/>
      </w:r>
      <w:r w:rsidRPr="00E267AB">
        <w:rPr>
          <w:lang w:val="fr-FR"/>
        </w:rPr>
        <w:t>.  En effet, les autorités n</w:t>
      </w:r>
      <w:r w:rsidR="00E267AB" w:rsidRPr="00E267AB">
        <w:rPr>
          <w:lang w:val="fr-FR"/>
        </w:rPr>
        <w:t>’</w:t>
      </w:r>
      <w:r w:rsidRPr="00E267AB">
        <w:rPr>
          <w:lang w:val="fr-FR"/>
        </w:rPr>
        <w:t>ont pas fait preuve de la diligence qui s</w:t>
      </w:r>
      <w:r w:rsidR="00E267AB" w:rsidRPr="00E267AB">
        <w:rPr>
          <w:lang w:val="fr-FR"/>
        </w:rPr>
        <w:t>’</w:t>
      </w:r>
      <w:r w:rsidRPr="00E267AB">
        <w:rPr>
          <w:lang w:val="fr-FR"/>
        </w:rPr>
        <w:t>imposait en l</w:t>
      </w:r>
      <w:r w:rsidR="00E267AB" w:rsidRPr="00E267AB">
        <w:rPr>
          <w:lang w:val="fr-FR"/>
        </w:rPr>
        <w:t>’</w:t>
      </w:r>
      <w:r w:rsidRPr="00E267AB">
        <w:rPr>
          <w:lang w:val="fr-FR"/>
        </w:rPr>
        <w:t>espèce et sont restées en deçà de ce qu</w:t>
      </w:r>
      <w:r w:rsidR="00E267AB" w:rsidRPr="00E267AB">
        <w:rPr>
          <w:lang w:val="fr-FR"/>
        </w:rPr>
        <w:t>’</w:t>
      </w:r>
      <w:r w:rsidRPr="00E267AB">
        <w:rPr>
          <w:lang w:val="fr-FR"/>
        </w:rPr>
        <w:t>on pouvait raisonnablement attendre d</w:t>
      </w:r>
      <w:r w:rsidR="00E267AB" w:rsidRPr="00E267AB">
        <w:rPr>
          <w:lang w:val="fr-FR"/>
        </w:rPr>
        <w:t>’</w:t>
      </w:r>
      <w:r w:rsidRPr="00E267AB">
        <w:rPr>
          <w:lang w:val="fr-FR"/>
        </w:rPr>
        <w:t>elles. En particulier, les juridictions internes n</w:t>
      </w:r>
      <w:r w:rsidR="00E267AB" w:rsidRPr="00E267AB">
        <w:rPr>
          <w:lang w:val="fr-FR"/>
        </w:rPr>
        <w:t>’</w:t>
      </w:r>
      <w:r w:rsidRPr="00E267AB">
        <w:rPr>
          <w:lang w:val="fr-FR"/>
        </w:rPr>
        <w:t>ont pas pris les mesures appropriées pour créer les conditions nécessaires à la pleine réalisation du droit de visite du père de l</w:t>
      </w:r>
      <w:r w:rsidR="00E267AB" w:rsidRPr="00E267AB">
        <w:rPr>
          <w:lang w:val="fr-FR"/>
        </w:rPr>
        <w:t>’</w:t>
      </w:r>
      <w:r w:rsidRPr="00E267AB">
        <w:rPr>
          <w:lang w:val="fr-FR"/>
        </w:rPr>
        <w:t>enfant (</w:t>
      </w:r>
      <w:r w:rsidRPr="00E267AB">
        <w:rPr>
          <w:i/>
          <w:lang w:val="fr-FR"/>
        </w:rPr>
        <w:t>Bondavalli</w:t>
      </w:r>
      <w:r w:rsidRPr="00E267AB">
        <w:rPr>
          <w:lang w:val="fr-FR"/>
        </w:rPr>
        <w:t xml:space="preserve">, précité § 81, </w:t>
      </w:r>
      <w:r w:rsidRPr="00E267AB">
        <w:rPr>
          <w:i/>
          <w:lang w:val="fr-FR"/>
        </w:rPr>
        <w:t>Macready c. République tchèque</w:t>
      </w:r>
      <w:r w:rsidRPr="00E267AB">
        <w:rPr>
          <w:lang w:val="fr-FR"/>
        </w:rPr>
        <w:t>, n</w:t>
      </w:r>
      <w:r w:rsidRPr="00E267AB">
        <w:rPr>
          <w:vertAlign w:val="superscript"/>
          <w:lang w:val="fr-FR"/>
        </w:rPr>
        <w:t>os</w:t>
      </w:r>
      <w:r w:rsidRPr="00E267AB">
        <w:rPr>
          <w:lang w:val="fr-FR"/>
        </w:rPr>
        <w:t xml:space="preserve"> 4824/06 et 15512/08, §</w:t>
      </w:r>
      <w:r w:rsidR="00D87B4E" w:rsidRPr="00E267AB">
        <w:rPr>
          <w:lang w:val="fr-FR"/>
        </w:rPr>
        <w:t> </w:t>
      </w:r>
      <w:r w:rsidRPr="00E267AB">
        <w:rPr>
          <w:lang w:val="fr-FR"/>
        </w:rPr>
        <w:t xml:space="preserve">66, 22 avril 2010, et </w:t>
      </w:r>
      <w:r w:rsidRPr="00E267AB">
        <w:rPr>
          <w:i/>
          <w:lang w:val="fr-FR"/>
        </w:rPr>
        <w:t>Piazzi</w:t>
      </w:r>
      <w:r w:rsidRPr="00E267AB">
        <w:rPr>
          <w:lang w:val="fr-FR"/>
        </w:rPr>
        <w:t>, précité, § 61). Elles n</w:t>
      </w:r>
      <w:r w:rsidR="00E267AB" w:rsidRPr="00E267AB">
        <w:rPr>
          <w:lang w:val="fr-FR"/>
        </w:rPr>
        <w:t>’</w:t>
      </w:r>
      <w:r w:rsidRPr="00E267AB">
        <w:rPr>
          <w:lang w:val="fr-FR"/>
        </w:rPr>
        <w:t>ont pas pris, dès le début de la séparation quand l</w:t>
      </w:r>
      <w:r w:rsidR="00E267AB" w:rsidRPr="00E267AB">
        <w:rPr>
          <w:lang w:val="fr-FR"/>
        </w:rPr>
        <w:t>’</w:t>
      </w:r>
      <w:r w:rsidRPr="00E267AB">
        <w:rPr>
          <w:lang w:val="fr-FR"/>
        </w:rPr>
        <w:t xml:space="preserve">enfant avait seulement trois ans et avait une </w:t>
      </w:r>
      <w:r w:rsidRPr="00E267AB">
        <w:rPr>
          <w:lang w:val="fr-FR"/>
        </w:rPr>
        <w:lastRenderedPageBreak/>
        <w:t>attitude positive vis-à-vis du requérant, des mesures utiles visant à l</w:t>
      </w:r>
      <w:r w:rsidR="00E267AB" w:rsidRPr="00E267AB">
        <w:rPr>
          <w:lang w:val="fr-FR"/>
        </w:rPr>
        <w:t>’</w:t>
      </w:r>
      <w:r w:rsidRPr="00E267AB">
        <w:rPr>
          <w:lang w:val="fr-FR"/>
        </w:rPr>
        <w:t xml:space="preserve">instauration de contacts effectifs et elles ont ensuite toléré pendant environ huit ans que la mère, par son comportement, empêchât </w:t>
      </w:r>
      <w:r w:rsidR="00E575A7" w:rsidRPr="00E267AB">
        <w:rPr>
          <w:lang w:val="fr-FR"/>
        </w:rPr>
        <w:t>l</w:t>
      </w:r>
      <w:r w:rsidR="00E267AB" w:rsidRPr="00E267AB">
        <w:rPr>
          <w:lang w:val="fr-FR"/>
        </w:rPr>
        <w:t>’</w:t>
      </w:r>
      <w:r w:rsidR="00E575A7" w:rsidRPr="00E267AB">
        <w:rPr>
          <w:lang w:val="fr-FR"/>
        </w:rPr>
        <w:t>établissement d</w:t>
      </w:r>
      <w:r w:rsidR="00E267AB" w:rsidRPr="00E267AB">
        <w:rPr>
          <w:lang w:val="fr-FR"/>
        </w:rPr>
        <w:t>’</w:t>
      </w:r>
      <w:r w:rsidR="00E575A7" w:rsidRPr="00E267AB">
        <w:rPr>
          <w:lang w:val="fr-FR"/>
        </w:rPr>
        <w:t>une</w:t>
      </w:r>
      <w:r w:rsidR="00C827DC" w:rsidRPr="00E267AB">
        <w:rPr>
          <w:lang w:val="fr-FR"/>
        </w:rPr>
        <w:t xml:space="preserve"> </w:t>
      </w:r>
      <w:r w:rsidR="00E575A7" w:rsidRPr="00E267AB">
        <w:rPr>
          <w:lang w:val="fr-FR"/>
        </w:rPr>
        <w:t xml:space="preserve">véritable relation </w:t>
      </w:r>
      <w:r w:rsidRPr="00E267AB">
        <w:rPr>
          <w:lang w:val="fr-FR"/>
        </w:rPr>
        <w:t>entre le requérant et l</w:t>
      </w:r>
      <w:r w:rsidR="00E267AB" w:rsidRPr="00E267AB">
        <w:rPr>
          <w:lang w:val="fr-FR"/>
        </w:rPr>
        <w:t>’</w:t>
      </w:r>
      <w:r w:rsidRPr="00E267AB">
        <w:rPr>
          <w:lang w:val="fr-FR"/>
        </w:rPr>
        <w:t>enfant.</w:t>
      </w:r>
      <w:r w:rsidR="00C827DC" w:rsidRPr="00E267AB">
        <w:rPr>
          <w:lang w:val="fr-FR"/>
        </w:rPr>
        <w:t xml:space="preserve"> </w:t>
      </w:r>
      <w:r w:rsidR="006C0D49" w:rsidRPr="00E267AB">
        <w:rPr>
          <w:lang w:val="fr-FR"/>
        </w:rPr>
        <w:t>L</w:t>
      </w:r>
      <w:r w:rsidRPr="00E267AB">
        <w:rPr>
          <w:lang w:val="fr-FR"/>
        </w:rPr>
        <w:t>a Cour relève que le déroulement de la procédure devant le tribunal fait plutôt apparaître une série de mesures automatiques et stéréotypées, telles que des demandes successives de renseignements et une délégation du suivi de la famille aux services sociaux assortie de l</w:t>
      </w:r>
      <w:r w:rsidR="00E267AB" w:rsidRPr="00E267AB">
        <w:rPr>
          <w:lang w:val="fr-FR"/>
        </w:rPr>
        <w:t>’</w:t>
      </w:r>
      <w:r w:rsidRPr="00E267AB">
        <w:rPr>
          <w:lang w:val="fr-FR"/>
        </w:rPr>
        <w:t>obligation pour ceux-ci de faire respecter le droit de visite du requérant (</w:t>
      </w:r>
      <w:r w:rsidRPr="00E267AB">
        <w:rPr>
          <w:i/>
          <w:lang w:val="fr-FR"/>
        </w:rPr>
        <w:t>Lombardo</w:t>
      </w:r>
      <w:r w:rsidRPr="00E267AB">
        <w:rPr>
          <w:lang w:val="fr-FR"/>
        </w:rPr>
        <w:t xml:space="preserve">, précité § 92, et </w:t>
      </w:r>
      <w:r w:rsidRPr="00E267AB">
        <w:rPr>
          <w:i/>
          <w:lang w:val="fr-FR"/>
        </w:rPr>
        <w:t>Piazzi</w:t>
      </w:r>
      <w:r w:rsidRPr="00E267AB">
        <w:rPr>
          <w:lang w:val="fr-FR"/>
        </w:rPr>
        <w:t>, précité, §</w:t>
      </w:r>
      <w:r w:rsidR="00D87B4E" w:rsidRPr="00E267AB">
        <w:rPr>
          <w:lang w:val="fr-FR"/>
        </w:rPr>
        <w:t> </w:t>
      </w:r>
      <w:r w:rsidRPr="00E267AB">
        <w:rPr>
          <w:lang w:val="fr-FR"/>
        </w:rPr>
        <w:t xml:space="preserve">61). </w:t>
      </w:r>
      <w:r w:rsidR="00C827DC" w:rsidRPr="00E267AB">
        <w:rPr>
          <w:lang w:val="fr-FR"/>
        </w:rPr>
        <w:t xml:space="preserve">Ainsi, </w:t>
      </w:r>
      <w:r w:rsidR="006E386D" w:rsidRPr="00E267AB">
        <w:rPr>
          <w:lang w:val="fr-FR"/>
        </w:rPr>
        <w:t>la Cour estime-t-elle que l</w:t>
      </w:r>
      <w:r w:rsidRPr="00E267AB">
        <w:rPr>
          <w:lang w:val="fr-FR"/>
        </w:rPr>
        <w:t>es autorités ont laissé se consolider une situation de fait installée au mépris des décisions judiciaires.</w:t>
      </w:r>
    </w:p>
    <w:p w:rsidR="00AE7FC5" w:rsidRPr="00E267AB" w:rsidRDefault="00C827DC"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123</w:t>
      </w:r>
      <w:r w:rsidRPr="00E267AB">
        <w:rPr>
          <w:lang w:val="fr-FR"/>
        </w:rPr>
        <w:fldChar w:fldCharType="end"/>
      </w:r>
      <w:r w:rsidRPr="00E267AB">
        <w:rPr>
          <w:lang w:val="fr-FR"/>
        </w:rPr>
        <w:t>.  </w:t>
      </w:r>
      <w:r w:rsidR="00AE7FC5" w:rsidRPr="00E267AB">
        <w:rPr>
          <w:lang w:val="fr-FR"/>
        </w:rPr>
        <w:t>Au final, si les tribunaux ont été inspirés dans leurs démarches par l</w:t>
      </w:r>
      <w:r w:rsidR="00E267AB" w:rsidRPr="00E267AB">
        <w:rPr>
          <w:lang w:val="fr-FR"/>
        </w:rPr>
        <w:t>’</w:t>
      </w:r>
      <w:r w:rsidR="00AE7FC5" w:rsidRPr="00E267AB">
        <w:rPr>
          <w:lang w:val="fr-FR"/>
        </w:rPr>
        <w:t>intérêt de la mineure dûment établi (</w:t>
      </w:r>
      <w:r w:rsidR="00AE7FC5" w:rsidRPr="00E267AB">
        <w:rPr>
          <w:i/>
          <w:lang w:val="fr-FR"/>
        </w:rPr>
        <w:t>Zavřel</w:t>
      </w:r>
      <w:r w:rsidR="00AE7FC5" w:rsidRPr="00E267AB">
        <w:rPr>
          <w:lang w:val="fr-FR"/>
        </w:rPr>
        <w:t>, précité</w:t>
      </w:r>
      <w:r w:rsidR="00915124" w:rsidRPr="00E267AB">
        <w:rPr>
          <w:lang w:val="fr-FR"/>
        </w:rPr>
        <w:t>,</w:t>
      </w:r>
      <w:r w:rsidR="00AE7FC5" w:rsidRPr="00E267AB">
        <w:rPr>
          <w:lang w:val="fr-FR"/>
        </w:rPr>
        <w:t xml:space="preserve"> § 53), l</w:t>
      </w:r>
      <w:r w:rsidR="00E267AB" w:rsidRPr="00E267AB">
        <w:rPr>
          <w:lang w:val="fr-FR"/>
        </w:rPr>
        <w:t>’</w:t>
      </w:r>
      <w:r w:rsidR="00915124" w:rsidRPr="00E267AB">
        <w:rPr>
          <w:lang w:val="fr-FR"/>
        </w:rPr>
        <w:t>objectif poursuivi par eux n</w:t>
      </w:r>
      <w:r w:rsidR="00E267AB" w:rsidRPr="00E267AB">
        <w:rPr>
          <w:lang w:val="fr-FR"/>
        </w:rPr>
        <w:t>’</w:t>
      </w:r>
      <w:r w:rsidR="00915124" w:rsidRPr="00E267AB">
        <w:rPr>
          <w:lang w:val="fr-FR"/>
        </w:rPr>
        <w:t xml:space="preserve">a pas été </w:t>
      </w:r>
      <w:r w:rsidR="00CF0B26" w:rsidRPr="00E267AB">
        <w:rPr>
          <w:lang w:val="fr-FR"/>
        </w:rPr>
        <w:t>atteint</w:t>
      </w:r>
      <w:r w:rsidR="00915124" w:rsidRPr="00E267AB">
        <w:rPr>
          <w:lang w:val="fr-FR"/>
        </w:rPr>
        <w:t> : h</w:t>
      </w:r>
      <w:r w:rsidR="00AE7FC5" w:rsidRPr="00E267AB">
        <w:rPr>
          <w:lang w:val="fr-FR"/>
        </w:rPr>
        <w:t>uit ans après la séparation de</w:t>
      </w:r>
      <w:r w:rsidR="00915124" w:rsidRPr="00E267AB">
        <w:rPr>
          <w:lang w:val="fr-FR"/>
        </w:rPr>
        <w:t xml:space="preserve"> ses</w:t>
      </w:r>
      <w:r w:rsidR="00AE7FC5" w:rsidRPr="00E267AB">
        <w:rPr>
          <w:lang w:val="fr-FR"/>
        </w:rPr>
        <w:t xml:space="preserve"> parents, l</w:t>
      </w:r>
      <w:r w:rsidR="00E267AB" w:rsidRPr="00E267AB">
        <w:rPr>
          <w:lang w:val="fr-FR"/>
        </w:rPr>
        <w:t>’</w:t>
      </w:r>
      <w:r w:rsidR="00AE7FC5" w:rsidRPr="00E267AB">
        <w:rPr>
          <w:lang w:val="fr-FR"/>
        </w:rPr>
        <w:t>enfant</w:t>
      </w:r>
      <w:r w:rsidR="00915124" w:rsidRPr="00E267AB">
        <w:rPr>
          <w:lang w:val="fr-FR"/>
        </w:rPr>
        <w:t xml:space="preserve"> </w:t>
      </w:r>
      <w:r w:rsidR="00AE7FC5" w:rsidRPr="00E267AB">
        <w:rPr>
          <w:lang w:val="fr-FR"/>
        </w:rPr>
        <w:t>n</w:t>
      </w:r>
      <w:r w:rsidR="00E267AB" w:rsidRPr="00E267AB">
        <w:rPr>
          <w:lang w:val="fr-FR"/>
        </w:rPr>
        <w:t>’</w:t>
      </w:r>
      <w:r w:rsidR="00AE7FC5" w:rsidRPr="00E267AB">
        <w:rPr>
          <w:lang w:val="fr-FR"/>
        </w:rPr>
        <w:t xml:space="preserve">a aucune relation avec son père et la seule solution envisageable </w:t>
      </w:r>
      <w:r w:rsidR="00915124" w:rsidRPr="00E267AB">
        <w:rPr>
          <w:lang w:val="fr-FR"/>
        </w:rPr>
        <w:t>consistera</w:t>
      </w:r>
      <w:r w:rsidR="00AE7FC5" w:rsidRPr="00E267AB">
        <w:rPr>
          <w:lang w:val="fr-FR"/>
        </w:rPr>
        <w:t xml:space="preserve">it </w:t>
      </w:r>
      <w:r w:rsidR="00915124" w:rsidRPr="00E267AB">
        <w:rPr>
          <w:lang w:val="fr-FR"/>
        </w:rPr>
        <w:t>en son</w:t>
      </w:r>
      <w:r w:rsidR="00AE7FC5" w:rsidRPr="00E267AB">
        <w:rPr>
          <w:lang w:val="fr-FR"/>
        </w:rPr>
        <w:t xml:space="preserve"> placement en institut.</w:t>
      </w:r>
    </w:p>
    <w:p w:rsidR="0057143A" w:rsidRPr="00E267AB" w:rsidRDefault="00AE7FC5"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124</w:t>
      </w:r>
      <w:r w:rsidRPr="00E267AB">
        <w:rPr>
          <w:lang w:val="fr-FR"/>
        </w:rPr>
        <w:fldChar w:fldCharType="end"/>
      </w:r>
      <w:r w:rsidRPr="00E267AB">
        <w:rPr>
          <w:lang w:val="fr-FR"/>
        </w:rPr>
        <w:t>.  </w:t>
      </w:r>
      <w:r w:rsidR="0057143A" w:rsidRPr="00E267AB">
        <w:rPr>
          <w:lang w:val="fr-FR"/>
        </w:rPr>
        <w:t>Eu égard à ce qui précède et nonobstant la marge d</w:t>
      </w:r>
      <w:r w:rsidR="00E267AB" w:rsidRPr="00E267AB">
        <w:rPr>
          <w:lang w:val="fr-FR"/>
        </w:rPr>
        <w:t>’</w:t>
      </w:r>
      <w:r w:rsidR="0057143A" w:rsidRPr="00E267AB">
        <w:rPr>
          <w:lang w:val="fr-FR"/>
        </w:rPr>
        <w:t>appréciation de l</w:t>
      </w:r>
      <w:r w:rsidR="00E267AB" w:rsidRPr="00E267AB">
        <w:rPr>
          <w:lang w:val="fr-FR"/>
        </w:rPr>
        <w:t>’</w:t>
      </w:r>
      <w:r w:rsidR="0057143A" w:rsidRPr="00E267AB">
        <w:rPr>
          <w:lang w:val="fr-FR"/>
        </w:rPr>
        <w:t>État défendeur en la matière, la Cour considère que les autorités nationales n</w:t>
      </w:r>
      <w:r w:rsidR="00E267AB" w:rsidRPr="00E267AB">
        <w:rPr>
          <w:lang w:val="fr-FR"/>
        </w:rPr>
        <w:t>’</w:t>
      </w:r>
      <w:r w:rsidR="0057143A" w:rsidRPr="00E267AB">
        <w:rPr>
          <w:lang w:val="fr-FR"/>
        </w:rPr>
        <w:t>ont pas déployé les efforts adéquats et suffisants pour faire respecter le droit de visite du requérant et qu</w:t>
      </w:r>
      <w:r w:rsidR="00E267AB" w:rsidRPr="00E267AB">
        <w:rPr>
          <w:lang w:val="fr-FR"/>
        </w:rPr>
        <w:t>’</w:t>
      </w:r>
      <w:r w:rsidR="0057143A" w:rsidRPr="00E267AB">
        <w:rPr>
          <w:lang w:val="fr-FR"/>
        </w:rPr>
        <w:t>elles ont méconnu le droit de l</w:t>
      </w:r>
      <w:r w:rsidR="00E267AB" w:rsidRPr="00E267AB">
        <w:rPr>
          <w:lang w:val="fr-FR"/>
        </w:rPr>
        <w:t>’</w:t>
      </w:r>
      <w:r w:rsidR="0057143A" w:rsidRPr="00E267AB">
        <w:rPr>
          <w:lang w:val="fr-FR"/>
        </w:rPr>
        <w:t>intéressé au respect de sa vie familiale.</w:t>
      </w:r>
    </w:p>
    <w:p w:rsidR="00E575A7" w:rsidRPr="00E267AB" w:rsidRDefault="00A9142F"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125</w:t>
      </w:r>
      <w:r w:rsidRPr="00E267AB">
        <w:rPr>
          <w:lang w:val="fr-FR"/>
        </w:rPr>
        <w:fldChar w:fldCharType="end"/>
      </w:r>
      <w:r w:rsidRPr="00E267AB">
        <w:rPr>
          <w:lang w:val="fr-FR"/>
        </w:rPr>
        <w:t>.  </w:t>
      </w:r>
      <w:r w:rsidR="0057143A" w:rsidRPr="00E267AB">
        <w:rPr>
          <w:lang w:val="fr-FR"/>
        </w:rPr>
        <w:t>Partant, il y a eu violation de l</w:t>
      </w:r>
      <w:r w:rsidR="00E267AB" w:rsidRPr="00E267AB">
        <w:rPr>
          <w:lang w:val="fr-FR"/>
        </w:rPr>
        <w:t>’</w:t>
      </w:r>
      <w:r w:rsidR="0057143A" w:rsidRPr="00E267AB">
        <w:rPr>
          <w:lang w:val="fr-FR"/>
        </w:rPr>
        <w:t>article 8 de la Convention.</w:t>
      </w:r>
    </w:p>
    <w:p w:rsidR="00E77CB3" w:rsidRPr="00E267AB" w:rsidRDefault="00220F75" w:rsidP="00E267AB">
      <w:pPr>
        <w:pStyle w:val="ECHRHeading1"/>
        <w:rPr>
          <w:lang w:val="fr-FR"/>
        </w:rPr>
      </w:pPr>
      <w:r w:rsidRPr="00E267AB">
        <w:rPr>
          <w:lang w:val="fr-FR"/>
        </w:rPr>
        <w:t>I</w:t>
      </w:r>
      <w:r w:rsidR="005A6987" w:rsidRPr="00E267AB">
        <w:rPr>
          <w:lang w:val="fr-FR"/>
        </w:rPr>
        <w:t>I</w:t>
      </w:r>
      <w:r w:rsidR="00E77CB3" w:rsidRPr="00E267AB">
        <w:rPr>
          <w:lang w:val="fr-FR"/>
        </w:rPr>
        <w:t>.  SUR L</w:t>
      </w:r>
      <w:r w:rsidR="00E267AB" w:rsidRPr="00E267AB">
        <w:rPr>
          <w:lang w:val="fr-FR"/>
        </w:rPr>
        <w:t>’</w:t>
      </w:r>
      <w:r w:rsidR="00E77CB3" w:rsidRPr="00E267AB">
        <w:rPr>
          <w:lang w:val="fr-FR"/>
        </w:rPr>
        <w:t>APPLICATION DE L</w:t>
      </w:r>
      <w:r w:rsidR="00E267AB" w:rsidRPr="00E267AB">
        <w:rPr>
          <w:lang w:val="fr-FR"/>
        </w:rPr>
        <w:t>’</w:t>
      </w:r>
      <w:r w:rsidR="00E77CB3" w:rsidRPr="00E267AB">
        <w:rPr>
          <w:lang w:val="fr-FR"/>
        </w:rPr>
        <w:t>ARTICLE 41 DE LA CONVENTION</w:t>
      </w:r>
    </w:p>
    <w:p w:rsidR="00E77CB3" w:rsidRPr="00E267AB" w:rsidRDefault="00F77BDB"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126</w:t>
      </w:r>
      <w:r w:rsidRPr="00E267AB">
        <w:rPr>
          <w:lang w:val="fr-FR"/>
        </w:rPr>
        <w:fldChar w:fldCharType="end"/>
      </w:r>
      <w:r w:rsidR="00E77CB3" w:rsidRPr="00E267AB">
        <w:rPr>
          <w:lang w:val="fr-FR"/>
        </w:rPr>
        <w:t>.  Aux termes de l</w:t>
      </w:r>
      <w:r w:rsidR="00E267AB" w:rsidRPr="00E267AB">
        <w:rPr>
          <w:lang w:val="fr-FR"/>
        </w:rPr>
        <w:t>’</w:t>
      </w:r>
      <w:r w:rsidR="00E77CB3" w:rsidRPr="00E267AB">
        <w:rPr>
          <w:lang w:val="fr-FR"/>
        </w:rPr>
        <w:t>article 41 de la Convention,</w:t>
      </w:r>
    </w:p>
    <w:p w:rsidR="00E77CB3" w:rsidRPr="00E267AB" w:rsidRDefault="00E77CB3" w:rsidP="00E267AB">
      <w:pPr>
        <w:pStyle w:val="ECHRParaQuote"/>
        <w:keepNext/>
        <w:keepLines/>
        <w:rPr>
          <w:lang w:val="fr-FR"/>
        </w:rPr>
      </w:pPr>
      <w:r w:rsidRPr="00E267AB">
        <w:rPr>
          <w:lang w:val="fr-FR"/>
        </w:rPr>
        <w:t>« Si la Cour déclare qu</w:t>
      </w:r>
      <w:r w:rsidR="00E267AB" w:rsidRPr="00E267AB">
        <w:rPr>
          <w:lang w:val="fr-FR"/>
        </w:rPr>
        <w:t>’</w:t>
      </w:r>
      <w:r w:rsidRPr="00E267AB">
        <w:rPr>
          <w:lang w:val="fr-FR"/>
        </w:rPr>
        <w:t>il y a eu violation de la Convention ou de ses Protocoles, et si le droit interne de la Haute Partie contractante ne permet d</w:t>
      </w:r>
      <w:r w:rsidR="00E267AB" w:rsidRPr="00E267AB">
        <w:rPr>
          <w:lang w:val="fr-FR"/>
        </w:rPr>
        <w:t>’</w:t>
      </w:r>
      <w:r w:rsidRPr="00E267AB">
        <w:rPr>
          <w:lang w:val="fr-FR"/>
        </w:rPr>
        <w:t>effacer qu</w:t>
      </w:r>
      <w:r w:rsidR="00E267AB" w:rsidRPr="00E267AB">
        <w:rPr>
          <w:lang w:val="fr-FR"/>
        </w:rPr>
        <w:t>’</w:t>
      </w:r>
      <w:r w:rsidRPr="00E267AB">
        <w:rPr>
          <w:lang w:val="fr-FR"/>
        </w:rPr>
        <w:t>imparfaitement les conséquences de cette violation, la Cour accorde à la partie lésée, s</w:t>
      </w:r>
      <w:r w:rsidR="00E267AB" w:rsidRPr="00E267AB">
        <w:rPr>
          <w:lang w:val="fr-FR"/>
        </w:rPr>
        <w:t>’</w:t>
      </w:r>
      <w:r w:rsidRPr="00E267AB">
        <w:rPr>
          <w:lang w:val="fr-FR"/>
        </w:rPr>
        <w:t>il y a lieu, une satisfaction équitable. »</w:t>
      </w:r>
    </w:p>
    <w:p w:rsidR="00E77CB3" w:rsidRPr="00E267AB" w:rsidRDefault="00E77CB3" w:rsidP="00E267AB">
      <w:pPr>
        <w:pStyle w:val="ECHRHeading2"/>
        <w:outlineLvl w:val="0"/>
        <w:rPr>
          <w:lang w:val="fr-FR"/>
        </w:rPr>
      </w:pPr>
      <w:r w:rsidRPr="00E267AB">
        <w:rPr>
          <w:lang w:val="fr-FR"/>
        </w:rPr>
        <w:t>A.  Dommage</w:t>
      </w:r>
    </w:p>
    <w:p w:rsidR="00220F75" w:rsidRPr="00E267AB" w:rsidRDefault="00F77BDB"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127</w:t>
      </w:r>
      <w:r w:rsidRPr="00E267AB">
        <w:rPr>
          <w:lang w:val="fr-FR"/>
        </w:rPr>
        <w:fldChar w:fldCharType="end"/>
      </w:r>
      <w:r w:rsidR="00E77CB3" w:rsidRPr="00E267AB">
        <w:rPr>
          <w:lang w:val="fr-FR"/>
        </w:rPr>
        <w:t>.  </w:t>
      </w:r>
      <w:r w:rsidR="00220F75" w:rsidRPr="00E267AB">
        <w:rPr>
          <w:lang w:val="fr-FR"/>
        </w:rPr>
        <w:t>Le requérant réclame 2</w:t>
      </w:r>
      <w:r w:rsidR="00AB3830" w:rsidRPr="00E267AB">
        <w:rPr>
          <w:lang w:val="fr-FR"/>
        </w:rPr>
        <w:t>5</w:t>
      </w:r>
      <w:r w:rsidR="00220F75" w:rsidRPr="00E267AB">
        <w:rPr>
          <w:lang w:val="fr-FR"/>
        </w:rPr>
        <w:t xml:space="preserve">0 000 euros (EUR) pour </w:t>
      </w:r>
      <w:r w:rsidR="00B7137D" w:rsidRPr="00E267AB">
        <w:rPr>
          <w:lang w:val="fr-FR"/>
        </w:rPr>
        <w:t>le</w:t>
      </w:r>
      <w:r w:rsidR="00FB2D4E" w:rsidRPr="00E267AB">
        <w:rPr>
          <w:lang w:val="fr-FR"/>
        </w:rPr>
        <w:t xml:space="preserve"> </w:t>
      </w:r>
      <w:r w:rsidR="00220F75" w:rsidRPr="00E267AB">
        <w:rPr>
          <w:lang w:val="fr-FR"/>
        </w:rPr>
        <w:t xml:space="preserve">préjudice moral </w:t>
      </w:r>
      <w:r w:rsidR="00FB2D4E" w:rsidRPr="00E267AB">
        <w:rPr>
          <w:lang w:val="fr-FR"/>
        </w:rPr>
        <w:t>qu</w:t>
      </w:r>
      <w:r w:rsidR="00E267AB" w:rsidRPr="00E267AB">
        <w:rPr>
          <w:lang w:val="fr-FR"/>
        </w:rPr>
        <w:t>’</w:t>
      </w:r>
      <w:r w:rsidR="00B7137D" w:rsidRPr="00E267AB">
        <w:rPr>
          <w:lang w:val="fr-FR"/>
        </w:rPr>
        <w:t>il dit avoir subi</w:t>
      </w:r>
      <w:r w:rsidR="00FB2D4E" w:rsidRPr="00E267AB">
        <w:rPr>
          <w:lang w:val="fr-FR"/>
        </w:rPr>
        <w:t xml:space="preserve"> </w:t>
      </w:r>
      <w:r w:rsidR="00AB3830" w:rsidRPr="00E267AB">
        <w:rPr>
          <w:lang w:val="fr-FR"/>
        </w:rPr>
        <w:t>du fait de l</w:t>
      </w:r>
      <w:r w:rsidR="00E267AB" w:rsidRPr="00E267AB">
        <w:rPr>
          <w:lang w:val="fr-FR"/>
        </w:rPr>
        <w:t>’</w:t>
      </w:r>
      <w:r w:rsidR="00AB3830" w:rsidRPr="00E267AB">
        <w:rPr>
          <w:lang w:val="fr-FR"/>
        </w:rPr>
        <w:t xml:space="preserve">impossibilité de nouer une relation avec sa fille. </w:t>
      </w:r>
      <w:r w:rsidR="005476CA" w:rsidRPr="00E267AB">
        <w:rPr>
          <w:lang w:val="fr-FR"/>
        </w:rPr>
        <w:t>Selon lui, c</w:t>
      </w:r>
      <w:r w:rsidR="00220F75" w:rsidRPr="00E267AB">
        <w:rPr>
          <w:lang w:val="fr-FR"/>
        </w:rPr>
        <w:t>e montant représente</w:t>
      </w:r>
      <w:r w:rsidR="00AB3830" w:rsidRPr="00E267AB">
        <w:rPr>
          <w:lang w:val="fr-FR"/>
        </w:rPr>
        <w:t>,</w:t>
      </w:r>
      <w:r w:rsidR="00220F75" w:rsidRPr="00E267AB">
        <w:rPr>
          <w:lang w:val="fr-FR"/>
        </w:rPr>
        <w:t xml:space="preserve"> </w:t>
      </w:r>
      <w:r w:rsidR="00AB3830" w:rsidRPr="00E267AB">
        <w:rPr>
          <w:lang w:val="fr-FR"/>
        </w:rPr>
        <w:t>en outre,</w:t>
      </w:r>
      <w:r w:rsidR="00220F75" w:rsidRPr="00E267AB">
        <w:rPr>
          <w:lang w:val="fr-FR"/>
        </w:rPr>
        <w:t xml:space="preserve"> le total des sommes qu</w:t>
      </w:r>
      <w:r w:rsidR="00E267AB" w:rsidRPr="00E267AB">
        <w:rPr>
          <w:lang w:val="fr-FR"/>
        </w:rPr>
        <w:t>’</w:t>
      </w:r>
      <w:r w:rsidR="00220F75" w:rsidRPr="00E267AB">
        <w:rPr>
          <w:lang w:val="fr-FR"/>
        </w:rPr>
        <w:t>il a</w:t>
      </w:r>
      <w:r w:rsidR="00FB2D4E" w:rsidRPr="00E267AB">
        <w:rPr>
          <w:lang w:val="fr-FR"/>
        </w:rPr>
        <w:t>urait</w:t>
      </w:r>
      <w:r w:rsidR="00220F75" w:rsidRPr="00E267AB">
        <w:rPr>
          <w:lang w:val="fr-FR"/>
        </w:rPr>
        <w:t xml:space="preserve"> versées aux avocats et aux psychiatres intervenus dans les procédures internes.</w:t>
      </w:r>
    </w:p>
    <w:p w:rsidR="00220F75" w:rsidRPr="00E267AB" w:rsidRDefault="00220F75"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128</w:t>
      </w:r>
      <w:r w:rsidRPr="00E267AB">
        <w:rPr>
          <w:lang w:val="fr-FR"/>
        </w:rPr>
        <w:fldChar w:fldCharType="end"/>
      </w:r>
      <w:r w:rsidRPr="00E267AB">
        <w:rPr>
          <w:lang w:val="fr-FR"/>
        </w:rPr>
        <w:t>.  Le Gouvernement combat ce</w:t>
      </w:r>
      <w:r w:rsidR="00581BBC" w:rsidRPr="00E267AB">
        <w:rPr>
          <w:lang w:val="fr-FR"/>
        </w:rPr>
        <w:t>tte</w:t>
      </w:r>
      <w:r w:rsidRPr="00E267AB">
        <w:rPr>
          <w:lang w:val="fr-FR"/>
        </w:rPr>
        <w:t xml:space="preserve"> prétention.</w:t>
      </w:r>
    </w:p>
    <w:p w:rsidR="00220F75" w:rsidRPr="00E267AB" w:rsidRDefault="00220F75"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129</w:t>
      </w:r>
      <w:r w:rsidRPr="00E267AB">
        <w:rPr>
          <w:lang w:val="fr-FR"/>
        </w:rPr>
        <w:fldChar w:fldCharType="end"/>
      </w:r>
      <w:r w:rsidRPr="00E267AB">
        <w:rPr>
          <w:lang w:val="fr-FR"/>
        </w:rPr>
        <w:t>.  </w:t>
      </w:r>
      <w:r w:rsidR="000027AF" w:rsidRPr="00E267AB">
        <w:rPr>
          <w:lang w:val="fr-FR"/>
        </w:rPr>
        <w:t>La Cour estime que les demandes du requérant concernant les frais d</w:t>
      </w:r>
      <w:r w:rsidR="00E267AB" w:rsidRPr="00E267AB">
        <w:rPr>
          <w:lang w:val="fr-FR"/>
        </w:rPr>
        <w:t>’</w:t>
      </w:r>
      <w:r w:rsidR="000027AF" w:rsidRPr="00E267AB">
        <w:rPr>
          <w:lang w:val="fr-FR"/>
        </w:rPr>
        <w:t>avocat et psychiatres doivent être examinés dans le cadre des frais et dépens</w:t>
      </w:r>
      <w:r w:rsidR="007F0AA1" w:rsidRPr="00E267AB">
        <w:rPr>
          <w:lang w:val="fr-FR"/>
        </w:rPr>
        <w:t xml:space="preserve"> </w:t>
      </w:r>
      <w:r w:rsidR="0092483D" w:rsidRPr="00E267AB">
        <w:rPr>
          <w:lang w:val="fr-FR"/>
        </w:rPr>
        <w:t>(paragraphes</w:t>
      </w:r>
      <w:r w:rsidR="007F0AA1" w:rsidRPr="00E267AB">
        <w:rPr>
          <w:lang w:val="fr-FR"/>
        </w:rPr>
        <w:t xml:space="preserve"> 125-128 ci-dessous)</w:t>
      </w:r>
      <w:r w:rsidR="000027AF" w:rsidRPr="00E267AB">
        <w:rPr>
          <w:lang w:val="fr-FR"/>
        </w:rPr>
        <w:t>. En revanche, quant au dommage moral que le requérant affirme avoir subi, en</w:t>
      </w:r>
      <w:r w:rsidR="002F15DC" w:rsidRPr="00E267AB">
        <w:rPr>
          <w:lang w:val="fr-FR"/>
        </w:rPr>
        <w:t xml:space="preserve"> tenant compte des circonstances de l</w:t>
      </w:r>
      <w:r w:rsidR="00E267AB" w:rsidRPr="00E267AB">
        <w:rPr>
          <w:lang w:val="fr-FR"/>
        </w:rPr>
        <w:t>’</w:t>
      </w:r>
      <w:r w:rsidR="002F15DC" w:rsidRPr="00E267AB">
        <w:rPr>
          <w:lang w:val="fr-FR"/>
        </w:rPr>
        <w:t xml:space="preserve">espèce et du constat de la rupture des relations entre le </w:t>
      </w:r>
      <w:r w:rsidR="002F15DC" w:rsidRPr="00E267AB">
        <w:rPr>
          <w:lang w:val="fr-FR"/>
        </w:rPr>
        <w:lastRenderedPageBreak/>
        <w:t>requérant et son enfant, la Cour considère que l</w:t>
      </w:r>
      <w:r w:rsidR="00E267AB" w:rsidRPr="00E267AB">
        <w:rPr>
          <w:lang w:val="fr-FR"/>
        </w:rPr>
        <w:t>’</w:t>
      </w:r>
      <w:r w:rsidR="002F15DC" w:rsidRPr="00E267AB">
        <w:rPr>
          <w:lang w:val="fr-FR"/>
        </w:rPr>
        <w:t>intéressé a subi un préjudice moral qui ne saurait être réparé par le seul constat de violation de l</w:t>
      </w:r>
      <w:r w:rsidR="00E267AB" w:rsidRPr="00E267AB">
        <w:rPr>
          <w:lang w:val="fr-FR"/>
        </w:rPr>
        <w:t>’</w:t>
      </w:r>
      <w:r w:rsidR="002F15DC" w:rsidRPr="00E267AB">
        <w:rPr>
          <w:lang w:val="fr-FR"/>
        </w:rPr>
        <w:t>article 8 de la Convention. La somme réclamée à ce titre est, toutefois, exagérée. Eu égard à l</w:t>
      </w:r>
      <w:r w:rsidR="00E267AB" w:rsidRPr="00E267AB">
        <w:rPr>
          <w:lang w:val="fr-FR"/>
        </w:rPr>
        <w:t>’</w:t>
      </w:r>
      <w:r w:rsidR="002F15DC" w:rsidRPr="00E267AB">
        <w:rPr>
          <w:lang w:val="fr-FR"/>
        </w:rPr>
        <w:t>ensemble des éléments se trouvant en sa possession et statuant en équité, comme le veut l</w:t>
      </w:r>
      <w:r w:rsidR="00E267AB" w:rsidRPr="00E267AB">
        <w:rPr>
          <w:lang w:val="fr-FR"/>
        </w:rPr>
        <w:t>’</w:t>
      </w:r>
      <w:r w:rsidR="002F15DC" w:rsidRPr="00E267AB">
        <w:rPr>
          <w:lang w:val="fr-FR"/>
        </w:rPr>
        <w:t>article 41 de la Convention, la Cour alloue à l</w:t>
      </w:r>
      <w:r w:rsidR="00E267AB" w:rsidRPr="00E267AB">
        <w:rPr>
          <w:lang w:val="fr-FR"/>
        </w:rPr>
        <w:t>’</w:t>
      </w:r>
      <w:r w:rsidR="002F15DC" w:rsidRPr="00E267AB">
        <w:rPr>
          <w:lang w:val="fr-FR"/>
        </w:rPr>
        <w:t>intéressé 15 000 EUR de ce chef.</w:t>
      </w:r>
    </w:p>
    <w:p w:rsidR="00E77CB3" w:rsidRPr="00E267AB" w:rsidRDefault="00E77CB3" w:rsidP="00E267AB">
      <w:pPr>
        <w:pStyle w:val="ECHRHeading2"/>
        <w:outlineLvl w:val="0"/>
        <w:rPr>
          <w:lang w:val="fr-FR"/>
        </w:rPr>
      </w:pPr>
      <w:r w:rsidRPr="00E267AB">
        <w:rPr>
          <w:lang w:val="fr-FR"/>
        </w:rPr>
        <w:t>B.  Frais et dépens</w:t>
      </w:r>
    </w:p>
    <w:p w:rsidR="00E77CB3" w:rsidRPr="00E267AB" w:rsidRDefault="000027AF"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130</w:t>
      </w:r>
      <w:r w:rsidRPr="00E267AB">
        <w:rPr>
          <w:lang w:val="fr-FR"/>
        </w:rPr>
        <w:fldChar w:fldCharType="end"/>
      </w:r>
      <w:r w:rsidRPr="00E267AB">
        <w:rPr>
          <w:lang w:val="fr-FR"/>
        </w:rPr>
        <w:t>.  </w:t>
      </w:r>
      <w:r w:rsidR="00B63926" w:rsidRPr="00E267AB">
        <w:rPr>
          <w:lang w:val="fr-FR"/>
        </w:rPr>
        <w:t xml:space="preserve">Le requérant demande le remboursement des sommes payées aux avocats et aux psychologues devant les juridictions internes sans </w:t>
      </w:r>
      <w:r w:rsidR="00E17CA5" w:rsidRPr="00E267AB">
        <w:rPr>
          <w:lang w:val="fr-FR"/>
        </w:rPr>
        <w:t xml:space="preserve">toutefois </w:t>
      </w:r>
      <w:r w:rsidR="00B63926" w:rsidRPr="00E267AB">
        <w:rPr>
          <w:lang w:val="fr-FR"/>
        </w:rPr>
        <w:t>les chiffrer</w:t>
      </w:r>
      <w:r w:rsidR="007F0AA1" w:rsidRPr="00E267AB">
        <w:rPr>
          <w:rFonts w:eastAsia="Arial Unicode MS"/>
          <w:lang w:val="fr-FR" w:eastAsia="ja-JP"/>
        </w:rPr>
        <w:t xml:space="preserve"> et sans présenter les éléments permettant de les calculer de manière précise</w:t>
      </w:r>
      <w:r w:rsidR="00E17CA5" w:rsidRPr="00E267AB">
        <w:rPr>
          <w:rFonts w:eastAsia="Arial Unicode MS"/>
          <w:lang w:val="fr-FR" w:eastAsia="ja-JP"/>
        </w:rPr>
        <w:t xml:space="preserve">. </w:t>
      </w:r>
      <w:r w:rsidR="00B63926" w:rsidRPr="00E267AB">
        <w:rPr>
          <w:lang w:val="fr-FR"/>
        </w:rPr>
        <w:t>En outre, s</w:t>
      </w:r>
      <w:r w:rsidR="00220F75" w:rsidRPr="00E267AB">
        <w:rPr>
          <w:lang w:val="fr-FR"/>
        </w:rPr>
        <w:t xml:space="preserve">ans </w:t>
      </w:r>
      <w:r w:rsidR="00FB2D4E" w:rsidRPr="00E267AB">
        <w:rPr>
          <w:lang w:val="fr-FR"/>
        </w:rPr>
        <w:t xml:space="preserve">présenter de </w:t>
      </w:r>
      <w:r w:rsidR="00220F75" w:rsidRPr="00E267AB">
        <w:rPr>
          <w:lang w:val="fr-FR"/>
        </w:rPr>
        <w:t xml:space="preserve">justificatif </w:t>
      </w:r>
      <w:r w:rsidR="00FB2D4E" w:rsidRPr="00E267AB">
        <w:rPr>
          <w:lang w:val="fr-FR"/>
        </w:rPr>
        <w:t>à</w:t>
      </w:r>
      <w:r w:rsidR="00220F75" w:rsidRPr="00E267AB">
        <w:rPr>
          <w:lang w:val="fr-FR"/>
        </w:rPr>
        <w:t xml:space="preserve"> l</w:t>
      </w:r>
      <w:r w:rsidR="00E267AB" w:rsidRPr="00E267AB">
        <w:rPr>
          <w:lang w:val="fr-FR"/>
        </w:rPr>
        <w:t>’</w:t>
      </w:r>
      <w:r w:rsidR="00220F75" w:rsidRPr="00E267AB">
        <w:rPr>
          <w:lang w:val="fr-FR"/>
        </w:rPr>
        <w:t>appui</w:t>
      </w:r>
      <w:r w:rsidR="00FB2D4E" w:rsidRPr="00E267AB">
        <w:rPr>
          <w:lang w:val="fr-FR"/>
        </w:rPr>
        <w:t xml:space="preserve"> de sa demande</w:t>
      </w:r>
      <w:r w:rsidR="00220F75" w:rsidRPr="00E267AB">
        <w:rPr>
          <w:lang w:val="fr-FR"/>
        </w:rPr>
        <w:t>, l</w:t>
      </w:r>
      <w:r w:rsidR="00F77BDB" w:rsidRPr="00E267AB">
        <w:rPr>
          <w:lang w:val="fr-FR"/>
        </w:rPr>
        <w:t>e requérant</w:t>
      </w:r>
      <w:r w:rsidR="00E77CB3" w:rsidRPr="00E267AB">
        <w:rPr>
          <w:lang w:val="fr-FR"/>
        </w:rPr>
        <w:t xml:space="preserve"> </w:t>
      </w:r>
      <w:r w:rsidR="00FB2D4E" w:rsidRPr="00E267AB">
        <w:rPr>
          <w:lang w:val="fr-FR"/>
        </w:rPr>
        <w:t xml:space="preserve">réclame la somme de </w:t>
      </w:r>
      <w:r w:rsidR="00220F75" w:rsidRPr="00E267AB">
        <w:rPr>
          <w:lang w:val="fr-FR"/>
        </w:rPr>
        <w:t>25 000 EUR pour les frais et dépens engagés devant la Cour.</w:t>
      </w:r>
    </w:p>
    <w:p w:rsidR="00E77CB3" w:rsidRPr="00E267AB" w:rsidRDefault="00F77BDB"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131</w:t>
      </w:r>
      <w:r w:rsidRPr="00E267AB">
        <w:rPr>
          <w:lang w:val="fr-FR"/>
        </w:rPr>
        <w:fldChar w:fldCharType="end"/>
      </w:r>
      <w:r w:rsidR="00E77CB3" w:rsidRPr="00E267AB">
        <w:rPr>
          <w:lang w:val="fr-FR"/>
        </w:rPr>
        <w:t xml:space="preserve">.  Le Gouvernement </w:t>
      </w:r>
      <w:r w:rsidR="00FB2D4E" w:rsidRPr="00E267AB">
        <w:rPr>
          <w:lang w:val="fr-FR"/>
        </w:rPr>
        <w:t>conteste cette demande</w:t>
      </w:r>
      <w:r w:rsidR="00220F75" w:rsidRPr="00E267AB">
        <w:rPr>
          <w:lang w:val="fr-FR"/>
        </w:rPr>
        <w:t>.</w:t>
      </w:r>
    </w:p>
    <w:p w:rsidR="003C365E" w:rsidRPr="00E267AB" w:rsidRDefault="004D0E4F" w:rsidP="00E267AB">
      <w:pPr>
        <w:ind w:firstLine="284"/>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132</w:t>
      </w:r>
      <w:r w:rsidRPr="00E267AB">
        <w:rPr>
          <w:lang w:val="fr-FR"/>
        </w:rPr>
        <w:fldChar w:fldCharType="end"/>
      </w:r>
      <w:r w:rsidRPr="00E267AB">
        <w:rPr>
          <w:lang w:val="fr-FR"/>
        </w:rPr>
        <w:t>.  </w:t>
      </w:r>
      <w:r w:rsidR="00E17CA5" w:rsidRPr="00E267AB">
        <w:rPr>
          <w:rFonts w:ascii="Times New Roman" w:eastAsiaTheme="minorHAnsi" w:hAnsi="Times New Roman" w:cs="Times New Roman"/>
          <w:color w:val="000000"/>
          <w:szCs w:val="24"/>
          <w:lang w:val="fr-FR"/>
        </w:rPr>
        <w:t>Selon la jurisprudence de la Cour, un requérant ne peut obtenir le remboursement de ses frais et dépens que dans la mesure où se trouvent établis leur réalité, leur nécessité et le caractère raisonnable de leur taux. En outre, lorsque la Cour constate une violation de la Convention, elle n</w:t>
      </w:r>
      <w:r w:rsidR="00E267AB" w:rsidRPr="00E267AB">
        <w:rPr>
          <w:rFonts w:ascii="Times New Roman" w:eastAsiaTheme="minorHAnsi" w:hAnsi="Times New Roman" w:cs="Times New Roman"/>
          <w:color w:val="000000"/>
          <w:szCs w:val="24"/>
          <w:lang w:val="fr-FR"/>
        </w:rPr>
        <w:t>’</w:t>
      </w:r>
      <w:r w:rsidR="00E17CA5" w:rsidRPr="00E267AB">
        <w:rPr>
          <w:rFonts w:ascii="Times New Roman" w:eastAsiaTheme="minorHAnsi" w:hAnsi="Times New Roman" w:cs="Times New Roman"/>
          <w:color w:val="000000"/>
          <w:szCs w:val="24"/>
          <w:lang w:val="fr-FR"/>
        </w:rPr>
        <w:t>accorde au requérant le paiement des frais et dépens qu</w:t>
      </w:r>
      <w:r w:rsidR="00E267AB" w:rsidRPr="00E267AB">
        <w:rPr>
          <w:rFonts w:ascii="Times New Roman" w:eastAsiaTheme="minorHAnsi" w:hAnsi="Times New Roman" w:cs="Times New Roman"/>
          <w:color w:val="000000"/>
          <w:szCs w:val="24"/>
          <w:lang w:val="fr-FR"/>
        </w:rPr>
        <w:t>’</w:t>
      </w:r>
      <w:r w:rsidR="00E17CA5" w:rsidRPr="00E267AB">
        <w:rPr>
          <w:rFonts w:ascii="Times New Roman" w:eastAsiaTheme="minorHAnsi" w:hAnsi="Times New Roman" w:cs="Times New Roman"/>
          <w:color w:val="000000"/>
          <w:szCs w:val="24"/>
          <w:lang w:val="fr-FR"/>
        </w:rPr>
        <w:t xml:space="preserve">il a exposés devant les juridictions nationales que dans la mesure où ils ont été engagés pour prévenir ou faire corriger par celles-ci ladite violation. </w:t>
      </w:r>
      <w:r w:rsidR="007F0AA1" w:rsidRPr="00E267AB">
        <w:rPr>
          <w:lang w:val="fr-FR"/>
        </w:rPr>
        <w:t>La Cour note que la demande de remboursement des frais et dépens engagés devant les juridictions internes ainsi que devant la Cour n</w:t>
      </w:r>
      <w:r w:rsidR="00E267AB" w:rsidRPr="00E267AB">
        <w:rPr>
          <w:lang w:val="fr-FR"/>
        </w:rPr>
        <w:t>’</w:t>
      </w:r>
      <w:r w:rsidR="007F0AA1" w:rsidRPr="00E267AB">
        <w:rPr>
          <w:lang w:val="fr-FR"/>
        </w:rPr>
        <w:t>est pas suffisamment détaillée, ni accompagnée des justificatifs pertinents. Elle rejette donc la demande formulée par le requérant à ce titre.</w:t>
      </w:r>
    </w:p>
    <w:p w:rsidR="00E77CB3" w:rsidRPr="00E267AB" w:rsidRDefault="00E77CB3" w:rsidP="00E267AB">
      <w:pPr>
        <w:pStyle w:val="ECHRHeading2"/>
        <w:outlineLvl w:val="0"/>
        <w:rPr>
          <w:lang w:val="fr-FR"/>
        </w:rPr>
      </w:pPr>
      <w:r w:rsidRPr="00E267AB">
        <w:rPr>
          <w:lang w:val="fr-FR"/>
        </w:rPr>
        <w:t>C.  Intérêts moratoires</w:t>
      </w:r>
    </w:p>
    <w:p w:rsidR="00E77CB3" w:rsidRPr="00E267AB" w:rsidRDefault="00F77BDB" w:rsidP="00E267AB">
      <w:pPr>
        <w:pStyle w:val="ECHRPara"/>
        <w:rPr>
          <w:lang w:val="fr-FR"/>
        </w:rPr>
      </w:pPr>
      <w:r w:rsidRPr="00E267AB">
        <w:rPr>
          <w:lang w:val="fr-FR"/>
        </w:rPr>
        <w:fldChar w:fldCharType="begin"/>
      </w:r>
      <w:r w:rsidRPr="00E267AB">
        <w:rPr>
          <w:lang w:val="fr-FR"/>
        </w:rPr>
        <w:instrText xml:space="preserve"> SEQ level0 \*arabic </w:instrText>
      </w:r>
      <w:r w:rsidRPr="00E267AB">
        <w:rPr>
          <w:lang w:val="fr-FR"/>
        </w:rPr>
        <w:fldChar w:fldCharType="separate"/>
      </w:r>
      <w:r w:rsidR="00E267AB" w:rsidRPr="00E267AB">
        <w:rPr>
          <w:noProof/>
          <w:lang w:val="fr-FR"/>
        </w:rPr>
        <w:t>133</w:t>
      </w:r>
      <w:r w:rsidRPr="00E267AB">
        <w:rPr>
          <w:lang w:val="fr-FR"/>
        </w:rPr>
        <w:fldChar w:fldCharType="end"/>
      </w:r>
      <w:r w:rsidR="00E77CB3" w:rsidRPr="00E267AB">
        <w:rPr>
          <w:lang w:val="fr-FR"/>
        </w:rPr>
        <w:t>.  La Cour juge approprié de calquer le taux des intérêts moratoires sur le taux d</w:t>
      </w:r>
      <w:r w:rsidR="00E267AB" w:rsidRPr="00E267AB">
        <w:rPr>
          <w:lang w:val="fr-FR"/>
        </w:rPr>
        <w:t>’</w:t>
      </w:r>
      <w:r w:rsidR="00E77CB3" w:rsidRPr="00E267AB">
        <w:rPr>
          <w:lang w:val="fr-FR"/>
        </w:rPr>
        <w:t>intérêt de la facilité de prêt marginal de la Banque centrale européenne majoré de trois points de pourcentage.</w:t>
      </w:r>
    </w:p>
    <w:p w:rsidR="00E77CB3" w:rsidRPr="00E267AB" w:rsidRDefault="00E77CB3" w:rsidP="00E267AB">
      <w:pPr>
        <w:pStyle w:val="ECHRTitle1"/>
        <w:rPr>
          <w:lang w:val="fr-FR"/>
        </w:rPr>
      </w:pPr>
      <w:r w:rsidRPr="00E267AB">
        <w:rPr>
          <w:lang w:val="fr-FR"/>
        </w:rPr>
        <w:t>PAR CES MOTIFS, LA COUR</w:t>
      </w:r>
      <w:r w:rsidR="00F77BDB" w:rsidRPr="00E267AB">
        <w:rPr>
          <w:lang w:val="fr-FR"/>
        </w:rPr>
        <w:t>, À L</w:t>
      </w:r>
      <w:r w:rsidR="00E267AB" w:rsidRPr="00E267AB">
        <w:rPr>
          <w:lang w:val="fr-FR"/>
        </w:rPr>
        <w:t>’</w:t>
      </w:r>
      <w:r w:rsidR="00F77BDB" w:rsidRPr="00E267AB">
        <w:rPr>
          <w:lang w:val="fr-FR"/>
        </w:rPr>
        <w:t>UNANIMITÉ,</w:t>
      </w:r>
    </w:p>
    <w:p w:rsidR="00FB2B45" w:rsidRPr="00E267AB" w:rsidRDefault="00FB2B45" w:rsidP="00E267AB">
      <w:pPr>
        <w:pStyle w:val="JuList"/>
        <w:rPr>
          <w:lang w:val="fr-FR"/>
        </w:rPr>
      </w:pPr>
      <w:r w:rsidRPr="00E267AB">
        <w:rPr>
          <w:lang w:val="fr-FR"/>
        </w:rPr>
        <w:t>1.  </w:t>
      </w:r>
      <w:r w:rsidRPr="00E267AB">
        <w:rPr>
          <w:i/>
          <w:lang w:val="fr-FR"/>
        </w:rPr>
        <w:t>Déclare</w:t>
      </w:r>
      <w:r w:rsidR="00F77BDB" w:rsidRPr="00E267AB">
        <w:rPr>
          <w:lang w:val="fr-FR"/>
        </w:rPr>
        <w:t xml:space="preserve"> la requête recevable</w:t>
      </w:r>
      <w:r w:rsidR="00F7279C" w:rsidRPr="00E267AB">
        <w:rPr>
          <w:lang w:val="fr-FR"/>
        </w:rPr>
        <w:t> ;</w:t>
      </w:r>
    </w:p>
    <w:p w:rsidR="00E77CB3" w:rsidRPr="00E267AB" w:rsidRDefault="00E77CB3" w:rsidP="00E267AB">
      <w:pPr>
        <w:pStyle w:val="JuList"/>
        <w:rPr>
          <w:lang w:val="fr-FR"/>
        </w:rPr>
      </w:pPr>
    </w:p>
    <w:p w:rsidR="00E77CB3" w:rsidRPr="00E267AB" w:rsidRDefault="00220F75" w:rsidP="00E267AB">
      <w:pPr>
        <w:pStyle w:val="JuList"/>
        <w:rPr>
          <w:lang w:val="fr-FR"/>
        </w:rPr>
      </w:pPr>
      <w:r w:rsidRPr="00E267AB">
        <w:rPr>
          <w:lang w:val="fr-FR"/>
        </w:rPr>
        <w:t>2</w:t>
      </w:r>
      <w:r w:rsidR="00E77CB3" w:rsidRPr="00E267AB">
        <w:rPr>
          <w:lang w:val="fr-FR"/>
        </w:rPr>
        <w:t>.  </w:t>
      </w:r>
      <w:r w:rsidR="00E77CB3" w:rsidRPr="00E267AB">
        <w:rPr>
          <w:i/>
          <w:lang w:val="fr-FR"/>
        </w:rPr>
        <w:t>Dit</w:t>
      </w:r>
      <w:r w:rsidR="00F77BDB" w:rsidRPr="00E267AB">
        <w:rPr>
          <w:lang w:val="fr-FR"/>
        </w:rPr>
        <w:t xml:space="preserve"> </w:t>
      </w:r>
      <w:r w:rsidR="00E77CB3" w:rsidRPr="00E267AB">
        <w:rPr>
          <w:lang w:val="fr-FR"/>
        </w:rPr>
        <w:t>qu</w:t>
      </w:r>
      <w:r w:rsidR="00E267AB" w:rsidRPr="00E267AB">
        <w:rPr>
          <w:lang w:val="fr-FR"/>
        </w:rPr>
        <w:t>’</w:t>
      </w:r>
      <w:r w:rsidR="00E77CB3" w:rsidRPr="00E267AB">
        <w:rPr>
          <w:lang w:val="fr-FR"/>
        </w:rPr>
        <w:t>il y a eu violation de l</w:t>
      </w:r>
      <w:r w:rsidR="00E267AB" w:rsidRPr="00E267AB">
        <w:rPr>
          <w:lang w:val="fr-FR"/>
        </w:rPr>
        <w:t>’</w:t>
      </w:r>
      <w:r w:rsidR="00E77CB3" w:rsidRPr="00E267AB">
        <w:rPr>
          <w:lang w:val="fr-FR"/>
        </w:rPr>
        <w:t xml:space="preserve">article </w:t>
      </w:r>
      <w:r w:rsidRPr="00E267AB">
        <w:rPr>
          <w:lang w:val="fr-FR"/>
        </w:rPr>
        <w:t>8</w:t>
      </w:r>
      <w:r w:rsidR="00E77CB3" w:rsidRPr="00E267AB">
        <w:rPr>
          <w:lang w:val="fr-FR"/>
        </w:rPr>
        <w:t xml:space="preserve"> de la Convention ;</w:t>
      </w:r>
    </w:p>
    <w:p w:rsidR="00E77CB3" w:rsidRPr="00E267AB" w:rsidRDefault="00E77CB3" w:rsidP="00E267AB">
      <w:pPr>
        <w:pStyle w:val="JuList"/>
        <w:rPr>
          <w:lang w:val="fr-FR"/>
        </w:rPr>
      </w:pPr>
    </w:p>
    <w:p w:rsidR="00E77CB3" w:rsidRPr="00E267AB" w:rsidRDefault="00220F75" w:rsidP="00E267AB">
      <w:pPr>
        <w:pStyle w:val="JuList"/>
        <w:keepNext/>
        <w:keepLines/>
        <w:rPr>
          <w:lang w:val="fr-FR"/>
        </w:rPr>
      </w:pPr>
      <w:r w:rsidRPr="00E267AB">
        <w:rPr>
          <w:lang w:val="fr-FR"/>
        </w:rPr>
        <w:lastRenderedPageBreak/>
        <w:t>3</w:t>
      </w:r>
      <w:r w:rsidR="00E77CB3" w:rsidRPr="00E267AB">
        <w:rPr>
          <w:lang w:val="fr-FR"/>
        </w:rPr>
        <w:t>.  </w:t>
      </w:r>
      <w:r w:rsidR="00E77CB3" w:rsidRPr="00E267AB">
        <w:rPr>
          <w:i/>
          <w:lang w:val="fr-FR"/>
        </w:rPr>
        <w:t>Dit</w:t>
      </w:r>
    </w:p>
    <w:p w:rsidR="00E77CB3" w:rsidRPr="00E267AB" w:rsidRDefault="00E77CB3" w:rsidP="00E267AB">
      <w:pPr>
        <w:pStyle w:val="JuLista"/>
        <w:keepNext/>
        <w:keepLines/>
        <w:rPr>
          <w:lang w:val="fr-FR" w:eastAsia="en-GB"/>
        </w:rPr>
      </w:pPr>
      <w:r w:rsidRPr="00E267AB">
        <w:rPr>
          <w:lang w:val="fr-FR"/>
        </w:rPr>
        <w:t>a)  que l</w:t>
      </w:r>
      <w:r w:rsidR="00E267AB" w:rsidRPr="00E267AB">
        <w:rPr>
          <w:lang w:val="fr-FR"/>
        </w:rPr>
        <w:t>’</w:t>
      </w:r>
      <w:r w:rsidRPr="00E267AB">
        <w:rPr>
          <w:lang w:val="fr-FR"/>
        </w:rPr>
        <w:t xml:space="preserve">État défendeur doit verser </w:t>
      </w:r>
      <w:r w:rsidR="00F77BDB" w:rsidRPr="00E267AB">
        <w:rPr>
          <w:lang w:val="fr-FR"/>
        </w:rPr>
        <w:t>au requérant</w:t>
      </w:r>
      <w:r w:rsidRPr="00E267AB">
        <w:rPr>
          <w:lang w:val="fr-FR"/>
        </w:rPr>
        <w:t>, dans les trois mois</w:t>
      </w:r>
      <w:r w:rsidR="00220F75" w:rsidRPr="00E267AB">
        <w:rPr>
          <w:lang w:val="fr-FR"/>
        </w:rPr>
        <w:t xml:space="preserve"> </w:t>
      </w:r>
      <w:r w:rsidR="00F77BDB" w:rsidRPr="00E267AB">
        <w:rPr>
          <w:lang w:val="fr-FR"/>
        </w:rPr>
        <w:t>à compter du jour où l</w:t>
      </w:r>
      <w:r w:rsidR="00E267AB" w:rsidRPr="00E267AB">
        <w:rPr>
          <w:lang w:val="fr-FR"/>
        </w:rPr>
        <w:t>’</w:t>
      </w:r>
      <w:r w:rsidR="00F77BDB" w:rsidRPr="00E267AB">
        <w:rPr>
          <w:lang w:val="fr-FR"/>
        </w:rPr>
        <w:t>arrêt sera devenu définitif conformément à l</w:t>
      </w:r>
      <w:r w:rsidR="00E267AB" w:rsidRPr="00E267AB">
        <w:rPr>
          <w:lang w:val="fr-FR"/>
        </w:rPr>
        <w:t>’</w:t>
      </w:r>
      <w:r w:rsidR="00A372E9" w:rsidRPr="00E267AB">
        <w:rPr>
          <w:lang w:val="fr-FR"/>
        </w:rPr>
        <w:t>article 44 § 2 de la Convention</w:t>
      </w:r>
      <w:r w:rsidRPr="00E267AB">
        <w:rPr>
          <w:lang w:val="fr-FR"/>
        </w:rPr>
        <w:t xml:space="preserve">, </w:t>
      </w:r>
      <w:r w:rsidR="00A372E9" w:rsidRPr="00E267AB">
        <w:rPr>
          <w:lang w:val="fr-FR" w:eastAsia="en-GB"/>
        </w:rPr>
        <w:t xml:space="preserve">15 000 EUR </w:t>
      </w:r>
      <w:r w:rsidRPr="00E267AB">
        <w:rPr>
          <w:lang w:val="fr-FR" w:eastAsia="en-GB"/>
        </w:rPr>
        <w:t>(</w:t>
      </w:r>
      <w:r w:rsidR="00A372E9" w:rsidRPr="00E267AB">
        <w:rPr>
          <w:lang w:val="fr-FR" w:eastAsia="en-GB"/>
        </w:rPr>
        <w:t xml:space="preserve">quinze mille </w:t>
      </w:r>
      <w:r w:rsidRPr="00E267AB">
        <w:rPr>
          <w:lang w:val="fr-FR" w:eastAsia="en-GB"/>
        </w:rPr>
        <w:t>euros) plus tout montant pouvant être dû à titre d</w:t>
      </w:r>
      <w:r w:rsidR="00E267AB" w:rsidRPr="00E267AB">
        <w:rPr>
          <w:lang w:val="fr-FR" w:eastAsia="en-GB"/>
        </w:rPr>
        <w:t>’</w:t>
      </w:r>
      <w:r w:rsidRPr="00E267AB">
        <w:rPr>
          <w:lang w:val="fr-FR" w:eastAsia="en-GB"/>
        </w:rPr>
        <w:t>impôt, pour dommage moral ;</w:t>
      </w:r>
    </w:p>
    <w:p w:rsidR="00E77CB3" w:rsidRPr="00E267AB" w:rsidRDefault="00E77CB3" w:rsidP="00E267AB">
      <w:pPr>
        <w:pStyle w:val="JuLista"/>
        <w:keepNext/>
        <w:keepLines/>
        <w:rPr>
          <w:lang w:val="fr-FR"/>
        </w:rPr>
      </w:pPr>
      <w:r w:rsidRPr="00E267AB">
        <w:rPr>
          <w:lang w:val="fr-FR"/>
        </w:rPr>
        <w:t>b)  qu</w:t>
      </w:r>
      <w:r w:rsidR="00E267AB" w:rsidRPr="00E267AB">
        <w:rPr>
          <w:lang w:val="fr-FR"/>
        </w:rPr>
        <w:t>’</w:t>
      </w:r>
      <w:r w:rsidRPr="00E267AB">
        <w:rPr>
          <w:lang w:val="fr-FR"/>
        </w:rPr>
        <w:t>à compter de l</w:t>
      </w:r>
      <w:r w:rsidR="00E267AB" w:rsidRPr="00E267AB">
        <w:rPr>
          <w:lang w:val="fr-FR"/>
        </w:rPr>
        <w:t>’</w:t>
      </w:r>
      <w:r w:rsidRPr="00E267AB">
        <w:rPr>
          <w:lang w:val="fr-FR"/>
        </w:rPr>
        <w:t>expiration dudit délai et jusqu</w:t>
      </w:r>
      <w:r w:rsidR="00E267AB" w:rsidRPr="00E267AB">
        <w:rPr>
          <w:lang w:val="fr-FR"/>
        </w:rPr>
        <w:t>’</w:t>
      </w:r>
      <w:r w:rsidRPr="00E267AB">
        <w:rPr>
          <w:lang w:val="fr-FR"/>
        </w:rPr>
        <w:t>au versement, ce montant ser</w:t>
      </w:r>
      <w:r w:rsidR="004A31ED" w:rsidRPr="00E267AB">
        <w:rPr>
          <w:lang w:val="fr-FR"/>
        </w:rPr>
        <w:t>a</w:t>
      </w:r>
      <w:r w:rsidRPr="00E267AB">
        <w:rPr>
          <w:lang w:val="fr-FR"/>
        </w:rPr>
        <w:t xml:space="preserve"> à majorer d</w:t>
      </w:r>
      <w:r w:rsidR="00E267AB" w:rsidRPr="00E267AB">
        <w:rPr>
          <w:lang w:val="fr-FR"/>
        </w:rPr>
        <w:t>’</w:t>
      </w:r>
      <w:r w:rsidRPr="00E267AB">
        <w:rPr>
          <w:lang w:val="fr-FR"/>
        </w:rPr>
        <w:t>un intérêt simple à un taux égal à celui de la facilité de prêt marginal de la Banque centrale européenne applicable pendant cette période, augmenté de trois points de pourcentage ;</w:t>
      </w:r>
    </w:p>
    <w:p w:rsidR="00E77CB3" w:rsidRPr="00E267AB" w:rsidRDefault="00E77CB3" w:rsidP="00E267AB">
      <w:pPr>
        <w:pStyle w:val="JuLista"/>
        <w:rPr>
          <w:lang w:val="fr-FR"/>
        </w:rPr>
      </w:pPr>
    </w:p>
    <w:p w:rsidR="00E77CB3" w:rsidRPr="00E267AB" w:rsidRDefault="00220F75" w:rsidP="00E267AB">
      <w:pPr>
        <w:pStyle w:val="JuList"/>
        <w:rPr>
          <w:lang w:val="fr-FR"/>
        </w:rPr>
      </w:pPr>
      <w:r w:rsidRPr="00E267AB">
        <w:rPr>
          <w:lang w:val="fr-FR"/>
        </w:rPr>
        <w:t>4</w:t>
      </w:r>
      <w:r w:rsidR="00E77CB3" w:rsidRPr="00E267AB">
        <w:rPr>
          <w:lang w:val="fr-FR"/>
        </w:rPr>
        <w:t>.  </w:t>
      </w:r>
      <w:r w:rsidR="00E77CB3" w:rsidRPr="00E267AB">
        <w:rPr>
          <w:i/>
          <w:lang w:val="fr-FR"/>
        </w:rPr>
        <w:t>Rejette</w:t>
      </w:r>
      <w:r w:rsidR="00E77CB3" w:rsidRPr="00E267AB">
        <w:rPr>
          <w:lang w:val="fr-FR"/>
        </w:rPr>
        <w:t xml:space="preserve"> la demande de satisfaction équitable pour le surplus.</w:t>
      </w:r>
    </w:p>
    <w:p w:rsidR="00E77CB3" w:rsidRPr="00E267AB" w:rsidRDefault="00E77CB3" w:rsidP="00E267AB">
      <w:pPr>
        <w:pStyle w:val="JuParaLast"/>
        <w:rPr>
          <w:lang w:val="fr-FR"/>
        </w:rPr>
      </w:pPr>
      <w:r w:rsidRPr="00E267AB">
        <w:rPr>
          <w:lang w:val="fr-FR"/>
        </w:rPr>
        <w:t>Fait en françai</w:t>
      </w:r>
      <w:r w:rsidR="00E267AB" w:rsidRPr="00E267AB">
        <w:rPr>
          <w:lang w:val="fr-FR"/>
        </w:rPr>
        <w:t>s, puis communiqué par écrit le</w:t>
      </w:r>
      <w:r w:rsidR="00E267AB" w:rsidRPr="00E267AB">
        <w:rPr>
          <w:lang w:val="uk-UA"/>
        </w:rPr>
        <w:t xml:space="preserve"> </w:t>
      </w:r>
      <w:r w:rsidR="0070413E" w:rsidRPr="00E267AB">
        <w:rPr>
          <w:lang w:val="fr-FR"/>
        </w:rPr>
        <w:t>23 juin 2016</w:t>
      </w:r>
      <w:r w:rsidRPr="00E267AB">
        <w:rPr>
          <w:lang w:val="fr-FR"/>
        </w:rPr>
        <w:t>, en application de l</w:t>
      </w:r>
      <w:r w:rsidR="00E267AB" w:rsidRPr="00E267AB">
        <w:rPr>
          <w:lang w:val="fr-FR"/>
        </w:rPr>
        <w:t>’</w:t>
      </w:r>
      <w:r w:rsidRPr="00E267AB">
        <w:rPr>
          <w:lang w:val="fr-FR"/>
        </w:rPr>
        <w:t>article 77 §§ 2 et 3 du règlement.</w:t>
      </w:r>
    </w:p>
    <w:p w:rsidR="00A13E34" w:rsidRPr="00E267AB" w:rsidRDefault="00A13E34" w:rsidP="00E267AB">
      <w:pPr>
        <w:pStyle w:val="JuSigned"/>
        <w:keepNext/>
        <w:keepLines/>
        <w:tabs>
          <w:tab w:val="clear" w:pos="6407"/>
          <w:tab w:val="center" w:pos="5954"/>
        </w:tabs>
        <w:ind w:left="284" w:hanging="284"/>
        <w:rPr>
          <w:lang w:val="uk-UA"/>
        </w:rPr>
      </w:pPr>
      <w:r w:rsidRPr="00E267AB">
        <w:rPr>
          <w:lang w:val="pt-PT"/>
        </w:rPr>
        <w:t>Abel Campos</w:t>
      </w:r>
      <w:r w:rsidRPr="00E267AB">
        <w:rPr>
          <w:lang w:val="pt-PT"/>
        </w:rPr>
        <w:tab/>
      </w:r>
      <w:r w:rsidRPr="00E267AB">
        <w:rPr>
          <w:szCs w:val="24"/>
          <w:lang w:val="pt-PT"/>
        </w:rPr>
        <w:t>Mirjana Lazarova Trajkovska</w:t>
      </w:r>
      <w:r w:rsidRPr="00E267AB">
        <w:rPr>
          <w:lang w:val="pt-PT"/>
        </w:rPr>
        <w:br/>
        <w:t>Greffier</w:t>
      </w:r>
      <w:r w:rsidRPr="00E267AB">
        <w:rPr>
          <w:lang w:val="pt-PT"/>
        </w:rPr>
        <w:tab/>
        <w:t>Présidente</w:t>
      </w:r>
    </w:p>
    <w:p w:rsidR="00E267AB" w:rsidRPr="00E267AB" w:rsidRDefault="00E267AB" w:rsidP="00E267AB">
      <w:pPr>
        <w:pStyle w:val="JuParaLast"/>
        <w:rPr>
          <w:lang w:val="uk-UA"/>
        </w:rPr>
      </w:pPr>
    </w:p>
    <w:sectPr w:rsidR="00E267AB" w:rsidRPr="00E267AB" w:rsidSect="0070413E">
      <w:headerReference w:type="even" r:id="rId25"/>
      <w:headerReference w:type="default" r:id="rId26"/>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1D3" w:rsidRPr="0045067D" w:rsidRDefault="00F841D3" w:rsidP="00E77CB3">
      <w:pPr>
        <w:rPr>
          <w:lang w:val="fr-FR"/>
        </w:rPr>
      </w:pPr>
      <w:r w:rsidRPr="0045067D">
        <w:rPr>
          <w:lang w:val="fr-FR"/>
        </w:rPr>
        <w:separator/>
      </w:r>
    </w:p>
  </w:endnote>
  <w:endnote w:type="continuationSeparator" w:id="0">
    <w:p w:rsidR="00F841D3" w:rsidRPr="0045067D" w:rsidRDefault="00F841D3" w:rsidP="00E77CB3">
      <w:pPr>
        <w:rPr>
          <w:lang w:val="fr-FR"/>
        </w:rPr>
      </w:pPr>
      <w:r w:rsidRPr="0045067D">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127" w:rsidRPr="00150BFA" w:rsidRDefault="00864127" w:rsidP="00864127">
    <w:pPr>
      <w:jc w:val="center"/>
    </w:pPr>
    <w:r>
      <w:rPr>
        <w:noProof/>
        <w:lang w:val="it-IT" w:eastAsia="it-IT"/>
      </w:rPr>
      <w:drawing>
        <wp:inline distT="0" distB="0" distL="0" distR="0" wp14:anchorId="52543FAB" wp14:editId="051B6069">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864127" w:rsidRDefault="0086412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1D3" w:rsidRPr="0045067D" w:rsidRDefault="00F841D3" w:rsidP="00E77CB3">
      <w:pPr>
        <w:rPr>
          <w:lang w:val="fr-FR"/>
        </w:rPr>
      </w:pPr>
      <w:r w:rsidRPr="0045067D">
        <w:rPr>
          <w:lang w:val="fr-FR"/>
        </w:rPr>
        <w:separator/>
      </w:r>
    </w:p>
  </w:footnote>
  <w:footnote w:type="continuationSeparator" w:id="0">
    <w:p w:rsidR="00F841D3" w:rsidRPr="0045067D" w:rsidRDefault="00F841D3" w:rsidP="00E77CB3">
      <w:pPr>
        <w:rPr>
          <w:lang w:val="fr-FR"/>
        </w:rPr>
      </w:pPr>
      <w:r w:rsidRPr="0045067D">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127" w:rsidRPr="0070413E" w:rsidRDefault="00864127" w:rsidP="0070413E">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127" w:rsidRPr="00A45145" w:rsidRDefault="00864127" w:rsidP="00864127">
    <w:pPr>
      <w:jc w:val="center"/>
    </w:pPr>
    <w:r>
      <w:rPr>
        <w:noProof/>
        <w:lang w:val="it-IT" w:eastAsia="it-IT"/>
      </w:rPr>
      <w:drawing>
        <wp:inline distT="0" distB="0" distL="0" distR="0" wp14:anchorId="2CF6B7C9" wp14:editId="0FF55897">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864127" w:rsidRDefault="0086412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127" w:rsidRPr="00EF0A2E" w:rsidRDefault="00864127" w:rsidP="00C611D8">
    <w:pPr>
      <w:pStyle w:val="ECHRHeader"/>
    </w:pPr>
    <w:r>
      <w:rPr>
        <w:rStyle w:val="Numeropagina"/>
      </w:rPr>
      <w:fldChar w:fldCharType="begin"/>
    </w:r>
    <w:r>
      <w:rPr>
        <w:rStyle w:val="Numeropagina"/>
      </w:rPr>
      <w:instrText xml:space="preserve"> PAGE </w:instrText>
    </w:r>
    <w:r>
      <w:rPr>
        <w:rStyle w:val="Numeropagina"/>
      </w:rPr>
      <w:fldChar w:fldCharType="separate"/>
    </w:r>
    <w:r w:rsidR="00CA227C">
      <w:rPr>
        <w:rStyle w:val="Numeropagina"/>
        <w:noProof/>
      </w:rPr>
      <w:t>20</w:t>
    </w:r>
    <w:r>
      <w:rPr>
        <w:rStyle w:val="Numeropagina"/>
      </w:rPr>
      <w:fldChar w:fldCharType="end"/>
    </w:r>
    <w:r w:rsidRPr="00EF0A2E">
      <w:rPr>
        <w:rStyle w:val="Numeropagina"/>
      </w:rPr>
      <w:tab/>
    </w:r>
    <w:r w:rsidRPr="00EF0A2E">
      <w:rPr>
        <w:noProof/>
      </w:rPr>
      <w:t>A</w:t>
    </w:r>
    <w:r>
      <w:rPr>
        <w:noProof/>
      </w:rPr>
      <w:t>RRÊT</w:t>
    </w:r>
    <w:r w:rsidRPr="00EF0A2E">
      <w:t xml:space="preserve"> – </w:t>
    </w:r>
    <w:r>
      <w:t>STRUMIA c. ITALIE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127" w:rsidRPr="0045067D" w:rsidRDefault="00864127" w:rsidP="00C63990">
    <w:pPr>
      <w:pStyle w:val="ECHRHeader"/>
      <w:rPr>
        <w:lang w:val="fr-FR"/>
      </w:rPr>
    </w:pPr>
    <w:r w:rsidRPr="0045067D">
      <w:rPr>
        <w:lang w:val="fr-FR"/>
      </w:rPr>
      <w:tab/>
    </w:r>
    <w:r w:rsidRPr="00EF0A2E">
      <w:rPr>
        <w:noProof/>
      </w:rPr>
      <w:t>A</w:t>
    </w:r>
    <w:r>
      <w:rPr>
        <w:noProof/>
      </w:rPr>
      <w:t>RRÊT</w:t>
    </w:r>
    <w:r w:rsidRPr="00EF0A2E">
      <w:t xml:space="preserve"> – </w:t>
    </w:r>
    <w:r>
      <w:t>STRUMIA c. ITALIE</w:t>
    </w:r>
    <w:r w:rsidRPr="00EF0A2E">
      <w:tab/>
    </w: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CA227C">
      <w:rPr>
        <w:rStyle w:val="Numeropagina"/>
        <w:noProof/>
        <w:lang w:val="fr-FR"/>
      </w:rPr>
      <w:t>1</w:t>
    </w:r>
    <w:r>
      <w:rPr>
        <w:rStyle w:val="Numeropagina"/>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9">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1">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21"/>
  </w:num>
  <w:num w:numId="3">
    <w:abstractNumId w:val="10"/>
  </w:num>
  <w:num w:numId="4">
    <w:abstractNumId w:val="41"/>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6"/>
  </w:num>
  <w:num w:numId="16">
    <w:abstractNumId w:val="45"/>
  </w:num>
  <w:num w:numId="17">
    <w:abstractNumId w:val="40"/>
  </w:num>
  <w:num w:numId="18">
    <w:abstractNumId w:val="35"/>
  </w:num>
  <w:num w:numId="19">
    <w:abstractNumId w:val="36"/>
  </w:num>
  <w:num w:numId="20">
    <w:abstractNumId w:val="25"/>
  </w:num>
  <w:num w:numId="21">
    <w:abstractNumId w:val="15"/>
  </w:num>
  <w:num w:numId="22">
    <w:abstractNumId w:val="19"/>
  </w:num>
  <w:num w:numId="23">
    <w:abstractNumId w:val="38"/>
  </w:num>
  <w:num w:numId="24">
    <w:abstractNumId w:val="34"/>
  </w:num>
  <w:num w:numId="25">
    <w:abstractNumId w:val="37"/>
  </w:num>
  <w:num w:numId="26">
    <w:abstractNumId w:val="43"/>
  </w:num>
  <w:num w:numId="27">
    <w:abstractNumId w:val="23"/>
  </w:num>
  <w:num w:numId="28">
    <w:abstractNumId w:val="11"/>
  </w:num>
  <w:num w:numId="29">
    <w:abstractNumId w:val="31"/>
  </w:num>
  <w:num w:numId="30">
    <w:abstractNumId w:val="16"/>
  </w:num>
  <w:num w:numId="31">
    <w:abstractNumId w:val="39"/>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12"/>
  </w:num>
  <w:num w:numId="35">
    <w:abstractNumId w:val="32"/>
  </w:num>
  <w:num w:numId="36">
    <w:abstractNumId w:val="28"/>
  </w:num>
  <w:num w:numId="37">
    <w:abstractNumId w:val="29"/>
  </w:num>
  <w:num w:numId="38">
    <w:abstractNumId w:val="1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3"/>
  </w:num>
  <w:num w:numId="42">
    <w:abstractNumId w:val="24"/>
  </w:num>
  <w:num w:numId="43">
    <w:abstractNumId w:val="33"/>
  </w:num>
  <w:num w:numId="44">
    <w:abstractNumId w:val="30"/>
  </w:num>
  <w:num w:numId="45">
    <w:abstractNumId w:val="27"/>
  </w:num>
  <w:num w:numId="46">
    <w:abstractNumId w:val="42"/>
  </w:num>
  <w:num w:numId="47">
    <w:abstractNumId w:val="20"/>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F77BDB"/>
    <w:rsid w:val="000027AF"/>
    <w:rsid w:val="00002DEF"/>
    <w:rsid w:val="000041F8"/>
    <w:rsid w:val="000042A8"/>
    <w:rsid w:val="00004308"/>
    <w:rsid w:val="00005BF0"/>
    <w:rsid w:val="00007154"/>
    <w:rsid w:val="00007D99"/>
    <w:rsid w:val="000103AE"/>
    <w:rsid w:val="00011D69"/>
    <w:rsid w:val="00012AD3"/>
    <w:rsid w:val="000136E8"/>
    <w:rsid w:val="00015C2D"/>
    <w:rsid w:val="00015F00"/>
    <w:rsid w:val="00022C1D"/>
    <w:rsid w:val="00034987"/>
    <w:rsid w:val="00035242"/>
    <w:rsid w:val="000402F5"/>
    <w:rsid w:val="00041705"/>
    <w:rsid w:val="00043498"/>
    <w:rsid w:val="00043923"/>
    <w:rsid w:val="000501E7"/>
    <w:rsid w:val="00050DBB"/>
    <w:rsid w:val="000528F7"/>
    <w:rsid w:val="00052C3B"/>
    <w:rsid w:val="00052CA7"/>
    <w:rsid w:val="00056497"/>
    <w:rsid w:val="00057E00"/>
    <w:rsid w:val="000602DF"/>
    <w:rsid w:val="00061B05"/>
    <w:rsid w:val="000632D5"/>
    <w:rsid w:val="000644EE"/>
    <w:rsid w:val="00066A71"/>
    <w:rsid w:val="000675FE"/>
    <w:rsid w:val="00090707"/>
    <w:rsid w:val="000925AD"/>
    <w:rsid w:val="000A0B28"/>
    <w:rsid w:val="000A24EB"/>
    <w:rsid w:val="000A3807"/>
    <w:rsid w:val="000A59CE"/>
    <w:rsid w:val="000A6098"/>
    <w:rsid w:val="000B14E6"/>
    <w:rsid w:val="000B44C8"/>
    <w:rsid w:val="000B51D9"/>
    <w:rsid w:val="000B6923"/>
    <w:rsid w:val="000C3375"/>
    <w:rsid w:val="000C42AF"/>
    <w:rsid w:val="000C5F3C"/>
    <w:rsid w:val="000C5FCE"/>
    <w:rsid w:val="000C6C2D"/>
    <w:rsid w:val="000C6DCC"/>
    <w:rsid w:val="000C7189"/>
    <w:rsid w:val="000C724B"/>
    <w:rsid w:val="000D47AA"/>
    <w:rsid w:val="000D57B2"/>
    <w:rsid w:val="000D721F"/>
    <w:rsid w:val="000E069B"/>
    <w:rsid w:val="000E0E82"/>
    <w:rsid w:val="000E1DC5"/>
    <w:rsid w:val="000E223F"/>
    <w:rsid w:val="000E225A"/>
    <w:rsid w:val="000E2A18"/>
    <w:rsid w:val="000E7D45"/>
    <w:rsid w:val="000F00EF"/>
    <w:rsid w:val="000F2E8A"/>
    <w:rsid w:val="000F2ECA"/>
    <w:rsid w:val="000F52B9"/>
    <w:rsid w:val="000F7669"/>
    <w:rsid w:val="000F7851"/>
    <w:rsid w:val="00102ECE"/>
    <w:rsid w:val="0010333D"/>
    <w:rsid w:val="00104E23"/>
    <w:rsid w:val="001113D1"/>
    <w:rsid w:val="00111B0C"/>
    <w:rsid w:val="0011287D"/>
    <w:rsid w:val="00112E82"/>
    <w:rsid w:val="0011304A"/>
    <w:rsid w:val="00120D6C"/>
    <w:rsid w:val="001257EC"/>
    <w:rsid w:val="00127806"/>
    <w:rsid w:val="00130C32"/>
    <w:rsid w:val="00131D42"/>
    <w:rsid w:val="00133D33"/>
    <w:rsid w:val="00134D64"/>
    <w:rsid w:val="001357D1"/>
    <w:rsid w:val="00135A30"/>
    <w:rsid w:val="0013612C"/>
    <w:rsid w:val="00137FF6"/>
    <w:rsid w:val="001405C9"/>
    <w:rsid w:val="00140A52"/>
    <w:rsid w:val="00141650"/>
    <w:rsid w:val="001464B3"/>
    <w:rsid w:val="001516A3"/>
    <w:rsid w:val="00152E75"/>
    <w:rsid w:val="00153647"/>
    <w:rsid w:val="0016174F"/>
    <w:rsid w:val="00162A12"/>
    <w:rsid w:val="00166530"/>
    <w:rsid w:val="00170528"/>
    <w:rsid w:val="00174F27"/>
    <w:rsid w:val="001832BD"/>
    <w:rsid w:val="001840E2"/>
    <w:rsid w:val="00185E4C"/>
    <w:rsid w:val="00190CA3"/>
    <w:rsid w:val="001922C0"/>
    <w:rsid w:val="001943B5"/>
    <w:rsid w:val="00195134"/>
    <w:rsid w:val="001A145B"/>
    <w:rsid w:val="001A674C"/>
    <w:rsid w:val="001A7318"/>
    <w:rsid w:val="001B3B24"/>
    <w:rsid w:val="001B6EB7"/>
    <w:rsid w:val="001B771C"/>
    <w:rsid w:val="001C0F98"/>
    <w:rsid w:val="001C2A42"/>
    <w:rsid w:val="001C41FA"/>
    <w:rsid w:val="001C4D7A"/>
    <w:rsid w:val="001C6F01"/>
    <w:rsid w:val="001C7FA3"/>
    <w:rsid w:val="001D1AE9"/>
    <w:rsid w:val="001D5C25"/>
    <w:rsid w:val="001D63ED"/>
    <w:rsid w:val="001D6D8C"/>
    <w:rsid w:val="001D7348"/>
    <w:rsid w:val="001E035B"/>
    <w:rsid w:val="001E0961"/>
    <w:rsid w:val="001E0C4F"/>
    <w:rsid w:val="001E272E"/>
    <w:rsid w:val="001E363F"/>
    <w:rsid w:val="001E3EAE"/>
    <w:rsid w:val="001E6854"/>
    <w:rsid w:val="001E6F32"/>
    <w:rsid w:val="001F0A9C"/>
    <w:rsid w:val="001F0DD3"/>
    <w:rsid w:val="001F11CC"/>
    <w:rsid w:val="001F2145"/>
    <w:rsid w:val="001F4E43"/>
    <w:rsid w:val="001F6262"/>
    <w:rsid w:val="001F67B0"/>
    <w:rsid w:val="001F7B3D"/>
    <w:rsid w:val="0020013F"/>
    <w:rsid w:val="00201532"/>
    <w:rsid w:val="00205B91"/>
    <w:rsid w:val="00205F9F"/>
    <w:rsid w:val="00210338"/>
    <w:rsid w:val="002115FC"/>
    <w:rsid w:val="0021305C"/>
    <w:rsid w:val="0021423C"/>
    <w:rsid w:val="00217E49"/>
    <w:rsid w:val="00220F75"/>
    <w:rsid w:val="002228A4"/>
    <w:rsid w:val="002231A4"/>
    <w:rsid w:val="00223222"/>
    <w:rsid w:val="00230D00"/>
    <w:rsid w:val="00231DF7"/>
    <w:rsid w:val="00231FD1"/>
    <w:rsid w:val="002339E0"/>
    <w:rsid w:val="00233CF8"/>
    <w:rsid w:val="0023575D"/>
    <w:rsid w:val="00237148"/>
    <w:rsid w:val="00241235"/>
    <w:rsid w:val="00241D59"/>
    <w:rsid w:val="0024222D"/>
    <w:rsid w:val="00244B0E"/>
    <w:rsid w:val="00244F6C"/>
    <w:rsid w:val="002532C5"/>
    <w:rsid w:val="00260C03"/>
    <w:rsid w:val="0026540E"/>
    <w:rsid w:val="00265EBB"/>
    <w:rsid w:val="0027196C"/>
    <w:rsid w:val="00272D40"/>
    <w:rsid w:val="00275123"/>
    <w:rsid w:val="00276DD7"/>
    <w:rsid w:val="00282240"/>
    <w:rsid w:val="00291379"/>
    <w:rsid w:val="002935EB"/>
    <w:rsid w:val="002948AD"/>
    <w:rsid w:val="00294BBA"/>
    <w:rsid w:val="00296A58"/>
    <w:rsid w:val="002A01CC"/>
    <w:rsid w:val="002A61B1"/>
    <w:rsid w:val="002A663C"/>
    <w:rsid w:val="002B07E5"/>
    <w:rsid w:val="002B2BA1"/>
    <w:rsid w:val="002B444B"/>
    <w:rsid w:val="002B5887"/>
    <w:rsid w:val="002C0E27"/>
    <w:rsid w:val="002C1B53"/>
    <w:rsid w:val="002C1CB2"/>
    <w:rsid w:val="002C3040"/>
    <w:rsid w:val="002C42CA"/>
    <w:rsid w:val="002C4FDE"/>
    <w:rsid w:val="002C73F4"/>
    <w:rsid w:val="002D022D"/>
    <w:rsid w:val="002D0393"/>
    <w:rsid w:val="002D23B6"/>
    <w:rsid w:val="002D24BB"/>
    <w:rsid w:val="002D3422"/>
    <w:rsid w:val="002E02CB"/>
    <w:rsid w:val="002E460F"/>
    <w:rsid w:val="002F074C"/>
    <w:rsid w:val="002F15DC"/>
    <w:rsid w:val="002F20BE"/>
    <w:rsid w:val="002F2AF7"/>
    <w:rsid w:val="002F66A8"/>
    <w:rsid w:val="002F7E1C"/>
    <w:rsid w:val="00301A75"/>
    <w:rsid w:val="00302F70"/>
    <w:rsid w:val="0030336F"/>
    <w:rsid w:val="0030375E"/>
    <w:rsid w:val="0031017C"/>
    <w:rsid w:val="00312952"/>
    <w:rsid w:val="00312A30"/>
    <w:rsid w:val="00320F72"/>
    <w:rsid w:val="00321C5F"/>
    <w:rsid w:val="0032463E"/>
    <w:rsid w:val="00325DE1"/>
    <w:rsid w:val="00326224"/>
    <w:rsid w:val="00327CF8"/>
    <w:rsid w:val="003336FA"/>
    <w:rsid w:val="00337EE4"/>
    <w:rsid w:val="00340FFD"/>
    <w:rsid w:val="00344B0B"/>
    <w:rsid w:val="003506B1"/>
    <w:rsid w:val="00354F8C"/>
    <w:rsid w:val="00356AC7"/>
    <w:rsid w:val="003609FA"/>
    <w:rsid w:val="00361007"/>
    <w:rsid w:val="003621BC"/>
    <w:rsid w:val="00365198"/>
    <w:rsid w:val="003700D3"/>
    <w:rsid w:val="003710C8"/>
    <w:rsid w:val="00372420"/>
    <w:rsid w:val="003750BE"/>
    <w:rsid w:val="003754A0"/>
    <w:rsid w:val="00382C93"/>
    <w:rsid w:val="00384B44"/>
    <w:rsid w:val="00386BAA"/>
    <w:rsid w:val="00387B9D"/>
    <w:rsid w:val="0039251E"/>
    <w:rsid w:val="0039364F"/>
    <w:rsid w:val="00396686"/>
    <w:rsid w:val="0039778E"/>
    <w:rsid w:val="003A19C1"/>
    <w:rsid w:val="003A6DAF"/>
    <w:rsid w:val="003A74BB"/>
    <w:rsid w:val="003B1574"/>
    <w:rsid w:val="003B2814"/>
    <w:rsid w:val="003B4941"/>
    <w:rsid w:val="003C18F4"/>
    <w:rsid w:val="003C365E"/>
    <w:rsid w:val="003C5714"/>
    <w:rsid w:val="003C59D5"/>
    <w:rsid w:val="003C63E1"/>
    <w:rsid w:val="003C6B9F"/>
    <w:rsid w:val="003C6E2A"/>
    <w:rsid w:val="003D0299"/>
    <w:rsid w:val="003D32DC"/>
    <w:rsid w:val="003D4934"/>
    <w:rsid w:val="003E1BBF"/>
    <w:rsid w:val="003E30F1"/>
    <w:rsid w:val="003E47A0"/>
    <w:rsid w:val="003E6D80"/>
    <w:rsid w:val="003F05FA"/>
    <w:rsid w:val="003F244A"/>
    <w:rsid w:val="003F30B8"/>
    <w:rsid w:val="003F4C45"/>
    <w:rsid w:val="003F56FC"/>
    <w:rsid w:val="003F5F7B"/>
    <w:rsid w:val="003F7A06"/>
    <w:rsid w:val="003F7D64"/>
    <w:rsid w:val="00404ADA"/>
    <w:rsid w:val="0041236F"/>
    <w:rsid w:val="00414300"/>
    <w:rsid w:val="004147EA"/>
    <w:rsid w:val="00425BD2"/>
    <w:rsid w:val="00425C67"/>
    <w:rsid w:val="00427E7A"/>
    <w:rsid w:val="00434EC4"/>
    <w:rsid w:val="00435F12"/>
    <w:rsid w:val="00436C49"/>
    <w:rsid w:val="004412C1"/>
    <w:rsid w:val="00441A8A"/>
    <w:rsid w:val="00441EDD"/>
    <w:rsid w:val="00445366"/>
    <w:rsid w:val="00445DB6"/>
    <w:rsid w:val="00446683"/>
    <w:rsid w:val="00447F5B"/>
    <w:rsid w:val="0045004D"/>
    <w:rsid w:val="0045067D"/>
    <w:rsid w:val="00460678"/>
    <w:rsid w:val="00461DB0"/>
    <w:rsid w:val="00463926"/>
    <w:rsid w:val="00464C9A"/>
    <w:rsid w:val="00465382"/>
    <w:rsid w:val="00466BBB"/>
    <w:rsid w:val="00467EBB"/>
    <w:rsid w:val="004722D8"/>
    <w:rsid w:val="004741F5"/>
    <w:rsid w:val="00474F3D"/>
    <w:rsid w:val="00475A69"/>
    <w:rsid w:val="0047726D"/>
    <w:rsid w:val="00477E3A"/>
    <w:rsid w:val="0048020F"/>
    <w:rsid w:val="00483E5F"/>
    <w:rsid w:val="00484DA8"/>
    <w:rsid w:val="00484E05"/>
    <w:rsid w:val="00485FF9"/>
    <w:rsid w:val="004907F0"/>
    <w:rsid w:val="0049140B"/>
    <w:rsid w:val="004923A5"/>
    <w:rsid w:val="0049278C"/>
    <w:rsid w:val="00496BFB"/>
    <w:rsid w:val="004A031E"/>
    <w:rsid w:val="004A15C7"/>
    <w:rsid w:val="004A31ED"/>
    <w:rsid w:val="004A5665"/>
    <w:rsid w:val="004A583D"/>
    <w:rsid w:val="004A6B7B"/>
    <w:rsid w:val="004B013B"/>
    <w:rsid w:val="004B112B"/>
    <w:rsid w:val="004B27F8"/>
    <w:rsid w:val="004B2AE9"/>
    <w:rsid w:val="004B38F7"/>
    <w:rsid w:val="004C01E4"/>
    <w:rsid w:val="004C086C"/>
    <w:rsid w:val="004C1F56"/>
    <w:rsid w:val="004C27BC"/>
    <w:rsid w:val="004C3ECD"/>
    <w:rsid w:val="004D0E4F"/>
    <w:rsid w:val="004D15F3"/>
    <w:rsid w:val="004D5311"/>
    <w:rsid w:val="004D5DCC"/>
    <w:rsid w:val="004E3221"/>
    <w:rsid w:val="004F10AF"/>
    <w:rsid w:val="004F11A4"/>
    <w:rsid w:val="004F2389"/>
    <w:rsid w:val="004F2979"/>
    <w:rsid w:val="004F304D"/>
    <w:rsid w:val="004F3F3B"/>
    <w:rsid w:val="004F61BE"/>
    <w:rsid w:val="004F61CC"/>
    <w:rsid w:val="004F66B1"/>
    <w:rsid w:val="004F7904"/>
    <w:rsid w:val="005028FD"/>
    <w:rsid w:val="00510310"/>
    <w:rsid w:val="0051158F"/>
    <w:rsid w:val="00511C07"/>
    <w:rsid w:val="005173A6"/>
    <w:rsid w:val="00520BAA"/>
    <w:rsid w:val="005224D3"/>
    <w:rsid w:val="00523A08"/>
    <w:rsid w:val="00525208"/>
    <w:rsid w:val="005257A5"/>
    <w:rsid w:val="00525810"/>
    <w:rsid w:val="005264C0"/>
    <w:rsid w:val="0052683B"/>
    <w:rsid w:val="00526A8A"/>
    <w:rsid w:val="00531BEE"/>
    <w:rsid w:val="00531DF2"/>
    <w:rsid w:val="0053388D"/>
    <w:rsid w:val="005428A6"/>
    <w:rsid w:val="005442EE"/>
    <w:rsid w:val="00544DDD"/>
    <w:rsid w:val="00546677"/>
    <w:rsid w:val="00547353"/>
    <w:rsid w:val="005474E7"/>
    <w:rsid w:val="005476CA"/>
    <w:rsid w:val="005512A3"/>
    <w:rsid w:val="00551AFC"/>
    <w:rsid w:val="00552B1E"/>
    <w:rsid w:val="0055450F"/>
    <w:rsid w:val="005557CC"/>
    <w:rsid w:val="00556C10"/>
    <w:rsid w:val="005578CE"/>
    <w:rsid w:val="00562781"/>
    <w:rsid w:val="00566038"/>
    <w:rsid w:val="0057143A"/>
    <w:rsid w:val="0057271C"/>
    <w:rsid w:val="00572845"/>
    <w:rsid w:val="00574C83"/>
    <w:rsid w:val="00576760"/>
    <w:rsid w:val="00577134"/>
    <w:rsid w:val="00581BBC"/>
    <w:rsid w:val="0058554F"/>
    <w:rsid w:val="00585BE2"/>
    <w:rsid w:val="00590250"/>
    <w:rsid w:val="00592772"/>
    <w:rsid w:val="0059574A"/>
    <w:rsid w:val="00595870"/>
    <w:rsid w:val="00596468"/>
    <w:rsid w:val="005967FD"/>
    <w:rsid w:val="005A02CB"/>
    <w:rsid w:val="005A0579"/>
    <w:rsid w:val="005A1B9B"/>
    <w:rsid w:val="005A469C"/>
    <w:rsid w:val="005A6237"/>
    <w:rsid w:val="005A6751"/>
    <w:rsid w:val="005A6987"/>
    <w:rsid w:val="005A7107"/>
    <w:rsid w:val="005B092E"/>
    <w:rsid w:val="005B12DE"/>
    <w:rsid w:val="005B152C"/>
    <w:rsid w:val="005B1EE0"/>
    <w:rsid w:val="005B2B24"/>
    <w:rsid w:val="005B4425"/>
    <w:rsid w:val="005B4B94"/>
    <w:rsid w:val="005C3EE8"/>
    <w:rsid w:val="005C6ABC"/>
    <w:rsid w:val="005C7303"/>
    <w:rsid w:val="005D34F9"/>
    <w:rsid w:val="005D4190"/>
    <w:rsid w:val="005D67A3"/>
    <w:rsid w:val="005E2988"/>
    <w:rsid w:val="005E2CE0"/>
    <w:rsid w:val="005E3085"/>
    <w:rsid w:val="005E35C2"/>
    <w:rsid w:val="005E37C6"/>
    <w:rsid w:val="005F214D"/>
    <w:rsid w:val="005F51E1"/>
    <w:rsid w:val="005F54FD"/>
    <w:rsid w:val="00607521"/>
    <w:rsid w:val="00611C80"/>
    <w:rsid w:val="0062055F"/>
    <w:rsid w:val="00620692"/>
    <w:rsid w:val="006242CA"/>
    <w:rsid w:val="00627507"/>
    <w:rsid w:val="00633717"/>
    <w:rsid w:val="006344E1"/>
    <w:rsid w:val="00640DBF"/>
    <w:rsid w:val="006421FE"/>
    <w:rsid w:val="00642703"/>
    <w:rsid w:val="00643955"/>
    <w:rsid w:val="006521B4"/>
    <w:rsid w:val="0065298D"/>
    <w:rsid w:val="006541EA"/>
    <w:rsid w:val="006545C4"/>
    <w:rsid w:val="00657CC7"/>
    <w:rsid w:val="00660398"/>
    <w:rsid w:val="00661971"/>
    <w:rsid w:val="00661CE8"/>
    <w:rsid w:val="006623D9"/>
    <w:rsid w:val="0066550C"/>
    <w:rsid w:val="00667B26"/>
    <w:rsid w:val="006701A6"/>
    <w:rsid w:val="006716F2"/>
    <w:rsid w:val="00673728"/>
    <w:rsid w:val="006758AE"/>
    <w:rsid w:val="00675E53"/>
    <w:rsid w:val="00675F1C"/>
    <w:rsid w:val="00682BF2"/>
    <w:rsid w:val="006859CE"/>
    <w:rsid w:val="0069019C"/>
    <w:rsid w:val="006909C1"/>
    <w:rsid w:val="00691270"/>
    <w:rsid w:val="00691DA4"/>
    <w:rsid w:val="00693803"/>
    <w:rsid w:val="00694A2E"/>
    <w:rsid w:val="00694BA8"/>
    <w:rsid w:val="006A037C"/>
    <w:rsid w:val="006A36F4"/>
    <w:rsid w:val="006A406F"/>
    <w:rsid w:val="006A5D3A"/>
    <w:rsid w:val="006B594E"/>
    <w:rsid w:val="006C0D49"/>
    <w:rsid w:val="006C1BCB"/>
    <w:rsid w:val="006C23D4"/>
    <w:rsid w:val="006C4491"/>
    <w:rsid w:val="006C5F05"/>
    <w:rsid w:val="006C609B"/>
    <w:rsid w:val="006C64BE"/>
    <w:rsid w:val="006C6A19"/>
    <w:rsid w:val="006C6BBE"/>
    <w:rsid w:val="006C6D97"/>
    <w:rsid w:val="006C7BB0"/>
    <w:rsid w:val="006C7BBB"/>
    <w:rsid w:val="006D3237"/>
    <w:rsid w:val="006E2E37"/>
    <w:rsid w:val="006E386D"/>
    <w:rsid w:val="006E3CF1"/>
    <w:rsid w:val="006E7843"/>
    <w:rsid w:val="006E7CB4"/>
    <w:rsid w:val="006E7E80"/>
    <w:rsid w:val="006F2C3C"/>
    <w:rsid w:val="006F3E6D"/>
    <w:rsid w:val="006F48CA"/>
    <w:rsid w:val="006F64DD"/>
    <w:rsid w:val="006F7D94"/>
    <w:rsid w:val="00700677"/>
    <w:rsid w:val="0070413E"/>
    <w:rsid w:val="00711B9F"/>
    <w:rsid w:val="007149EA"/>
    <w:rsid w:val="00715127"/>
    <w:rsid w:val="00715E8E"/>
    <w:rsid w:val="007166C6"/>
    <w:rsid w:val="00723580"/>
    <w:rsid w:val="00723755"/>
    <w:rsid w:val="0072433E"/>
    <w:rsid w:val="00724964"/>
    <w:rsid w:val="0073136C"/>
    <w:rsid w:val="00731F0F"/>
    <w:rsid w:val="00733250"/>
    <w:rsid w:val="00736CE3"/>
    <w:rsid w:val="00741164"/>
    <w:rsid w:val="00741404"/>
    <w:rsid w:val="0074469D"/>
    <w:rsid w:val="007449E5"/>
    <w:rsid w:val="00747FF0"/>
    <w:rsid w:val="00752B00"/>
    <w:rsid w:val="00753F45"/>
    <w:rsid w:val="007547B9"/>
    <w:rsid w:val="00754927"/>
    <w:rsid w:val="00762AAB"/>
    <w:rsid w:val="00764D4E"/>
    <w:rsid w:val="00765A1F"/>
    <w:rsid w:val="00765C9A"/>
    <w:rsid w:val="0076710F"/>
    <w:rsid w:val="00767126"/>
    <w:rsid w:val="00772F90"/>
    <w:rsid w:val="007732EA"/>
    <w:rsid w:val="00775B6D"/>
    <w:rsid w:val="00776A81"/>
    <w:rsid w:val="00776D68"/>
    <w:rsid w:val="00780CB6"/>
    <w:rsid w:val="007850EE"/>
    <w:rsid w:val="00785B95"/>
    <w:rsid w:val="00790DBC"/>
    <w:rsid w:val="00790E96"/>
    <w:rsid w:val="007914FC"/>
    <w:rsid w:val="00793366"/>
    <w:rsid w:val="007947F1"/>
    <w:rsid w:val="007952DA"/>
    <w:rsid w:val="0079564E"/>
    <w:rsid w:val="00796016"/>
    <w:rsid w:val="007A4423"/>
    <w:rsid w:val="007A5418"/>
    <w:rsid w:val="007A716F"/>
    <w:rsid w:val="007B07CD"/>
    <w:rsid w:val="007B270A"/>
    <w:rsid w:val="007B3172"/>
    <w:rsid w:val="007B4089"/>
    <w:rsid w:val="007B4B56"/>
    <w:rsid w:val="007B6F18"/>
    <w:rsid w:val="007C029D"/>
    <w:rsid w:val="007C0695"/>
    <w:rsid w:val="007C0C91"/>
    <w:rsid w:val="007C1881"/>
    <w:rsid w:val="007C419A"/>
    <w:rsid w:val="007C4CC8"/>
    <w:rsid w:val="007C5426"/>
    <w:rsid w:val="007C5798"/>
    <w:rsid w:val="007C5B16"/>
    <w:rsid w:val="007D385B"/>
    <w:rsid w:val="007D4832"/>
    <w:rsid w:val="007D52CF"/>
    <w:rsid w:val="007E21B2"/>
    <w:rsid w:val="007E2C4E"/>
    <w:rsid w:val="007E3ED4"/>
    <w:rsid w:val="007E48C2"/>
    <w:rsid w:val="007F0AA1"/>
    <w:rsid w:val="007F124D"/>
    <w:rsid w:val="007F1905"/>
    <w:rsid w:val="007F1EBD"/>
    <w:rsid w:val="007F2D46"/>
    <w:rsid w:val="007F3EEF"/>
    <w:rsid w:val="00801300"/>
    <w:rsid w:val="00801B50"/>
    <w:rsid w:val="008024AE"/>
    <w:rsid w:val="00802C64"/>
    <w:rsid w:val="00803131"/>
    <w:rsid w:val="00805E52"/>
    <w:rsid w:val="008061D0"/>
    <w:rsid w:val="00806587"/>
    <w:rsid w:val="00806C53"/>
    <w:rsid w:val="00807E9C"/>
    <w:rsid w:val="008107C8"/>
    <w:rsid w:val="00810B38"/>
    <w:rsid w:val="0081320F"/>
    <w:rsid w:val="00813D1C"/>
    <w:rsid w:val="00820204"/>
    <w:rsid w:val="008204C7"/>
    <w:rsid w:val="008204CB"/>
    <w:rsid w:val="00820992"/>
    <w:rsid w:val="00822A07"/>
    <w:rsid w:val="00823602"/>
    <w:rsid w:val="008255F5"/>
    <w:rsid w:val="00826286"/>
    <w:rsid w:val="008271C3"/>
    <w:rsid w:val="0083014E"/>
    <w:rsid w:val="0083214A"/>
    <w:rsid w:val="008337E9"/>
    <w:rsid w:val="00834220"/>
    <w:rsid w:val="00834D5C"/>
    <w:rsid w:val="0084351A"/>
    <w:rsid w:val="00845723"/>
    <w:rsid w:val="00851EF9"/>
    <w:rsid w:val="008526AF"/>
    <w:rsid w:val="008577FD"/>
    <w:rsid w:val="00860B03"/>
    <w:rsid w:val="00864127"/>
    <w:rsid w:val="0086497A"/>
    <w:rsid w:val="008713A1"/>
    <w:rsid w:val="008754AB"/>
    <w:rsid w:val="00875AB3"/>
    <w:rsid w:val="0088060C"/>
    <w:rsid w:val="0088153F"/>
    <w:rsid w:val="008861C6"/>
    <w:rsid w:val="00893576"/>
    <w:rsid w:val="00893E73"/>
    <w:rsid w:val="008949A6"/>
    <w:rsid w:val="0089793F"/>
    <w:rsid w:val="008A23A5"/>
    <w:rsid w:val="008A3043"/>
    <w:rsid w:val="008A32B2"/>
    <w:rsid w:val="008A41AC"/>
    <w:rsid w:val="008A5B9D"/>
    <w:rsid w:val="008B02DC"/>
    <w:rsid w:val="008B57CE"/>
    <w:rsid w:val="008B7FE3"/>
    <w:rsid w:val="008C0AA2"/>
    <w:rsid w:val="008C26DE"/>
    <w:rsid w:val="008C295F"/>
    <w:rsid w:val="008D0450"/>
    <w:rsid w:val="008D0824"/>
    <w:rsid w:val="008D2225"/>
    <w:rsid w:val="008D36CA"/>
    <w:rsid w:val="008D4752"/>
    <w:rsid w:val="008D64A2"/>
    <w:rsid w:val="008D7298"/>
    <w:rsid w:val="008D7B47"/>
    <w:rsid w:val="008D7CF0"/>
    <w:rsid w:val="008E271C"/>
    <w:rsid w:val="008E418E"/>
    <w:rsid w:val="008E5BC6"/>
    <w:rsid w:val="008E6A25"/>
    <w:rsid w:val="008F2C05"/>
    <w:rsid w:val="008F3B51"/>
    <w:rsid w:val="008F5193"/>
    <w:rsid w:val="009013A7"/>
    <w:rsid w:val="009017FB"/>
    <w:rsid w:val="009017FC"/>
    <w:rsid w:val="00902A2E"/>
    <w:rsid w:val="0090506B"/>
    <w:rsid w:val="009050C9"/>
    <w:rsid w:val="009066FC"/>
    <w:rsid w:val="00907593"/>
    <w:rsid w:val="009076CE"/>
    <w:rsid w:val="0091189A"/>
    <w:rsid w:val="00912DC6"/>
    <w:rsid w:val="009140A3"/>
    <w:rsid w:val="009144A2"/>
    <w:rsid w:val="0091510C"/>
    <w:rsid w:val="00915124"/>
    <w:rsid w:val="009167D1"/>
    <w:rsid w:val="00922747"/>
    <w:rsid w:val="0092483D"/>
    <w:rsid w:val="009259AC"/>
    <w:rsid w:val="00926AD5"/>
    <w:rsid w:val="00926D4D"/>
    <w:rsid w:val="00926F38"/>
    <w:rsid w:val="00934301"/>
    <w:rsid w:val="009354CC"/>
    <w:rsid w:val="009355D2"/>
    <w:rsid w:val="00936C2D"/>
    <w:rsid w:val="00936CD1"/>
    <w:rsid w:val="00941747"/>
    <w:rsid w:val="00941EFB"/>
    <w:rsid w:val="00947AFB"/>
    <w:rsid w:val="00951D7D"/>
    <w:rsid w:val="00956ADE"/>
    <w:rsid w:val="009630C7"/>
    <w:rsid w:val="00966A9A"/>
    <w:rsid w:val="009674C7"/>
    <w:rsid w:val="0097032A"/>
    <w:rsid w:val="00970BB1"/>
    <w:rsid w:val="00971C47"/>
    <w:rsid w:val="00972B55"/>
    <w:rsid w:val="009743B7"/>
    <w:rsid w:val="00974916"/>
    <w:rsid w:val="00974B78"/>
    <w:rsid w:val="009773E3"/>
    <w:rsid w:val="0098228B"/>
    <w:rsid w:val="009828DA"/>
    <w:rsid w:val="00985BAB"/>
    <w:rsid w:val="009A1B2A"/>
    <w:rsid w:val="009A1E9D"/>
    <w:rsid w:val="009A3DB2"/>
    <w:rsid w:val="009A448B"/>
    <w:rsid w:val="009A4925"/>
    <w:rsid w:val="009A5863"/>
    <w:rsid w:val="009B1B5F"/>
    <w:rsid w:val="009B24D8"/>
    <w:rsid w:val="009B54E6"/>
    <w:rsid w:val="009B6673"/>
    <w:rsid w:val="009C191B"/>
    <w:rsid w:val="009C259E"/>
    <w:rsid w:val="009C2BD6"/>
    <w:rsid w:val="009C4BB7"/>
    <w:rsid w:val="009D2D25"/>
    <w:rsid w:val="009D4B35"/>
    <w:rsid w:val="009D504A"/>
    <w:rsid w:val="009E0209"/>
    <w:rsid w:val="009E1F32"/>
    <w:rsid w:val="009E776C"/>
    <w:rsid w:val="009F1444"/>
    <w:rsid w:val="009F157B"/>
    <w:rsid w:val="009F1C87"/>
    <w:rsid w:val="009F5D6E"/>
    <w:rsid w:val="00A00144"/>
    <w:rsid w:val="00A013D3"/>
    <w:rsid w:val="00A01B44"/>
    <w:rsid w:val="00A036C3"/>
    <w:rsid w:val="00A13E34"/>
    <w:rsid w:val="00A1726E"/>
    <w:rsid w:val="00A17625"/>
    <w:rsid w:val="00A204CF"/>
    <w:rsid w:val="00A2078C"/>
    <w:rsid w:val="00A20AE5"/>
    <w:rsid w:val="00A21499"/>
    <w:rsid w:val="00A23D49"/>
    <w:rsid w:val="00A23F4B"/>
    <w:rsid w:val="00A27004"/>
    <w:rsid w:val="00A30C29"/>
    <w:rsid w:val="00A333CE"/>
    <w:rsid w:val="00A34DD6"/>
    <w:rsid w:val="00A36819"/>
    <w:rsid w:val="00A36989"/>
    <w:rsid w:val="00A372E9"/>
    <w:rsid w:val="00A43308"/>
    <w:rsid w:val="00A43628"/>
    <w:rsid w:val="00A44D3E"/>
    <w:rsid w:val="00A46647"/>
    <w:rsid w:val="00A520F9"/>
    <w:rsid w:val="00A54192"/>
    <w:rsid w:val="00A6035E"/>
    <w:rsid w:val="00A6144C"/>
    <w:rsid w:val="00A61CE6"/>
    <w:rsid w:val="00A65206"/>
    <w:rsid w:val="00A66617"/>
    <w:rsid w:val="00A671F8"/>
    <w:rsid w:val="00A673A4"/>
    <w:rsid w:val="00A67531"/>
    <w:rsid w:val="00A724AE"/>
    <w:rsid w:val="00A73329"/>
    <w:rsid w:val="00A74248"/>
    <w:rsid w:val="00A74402"/>
    <w:rsid w:val="00A7457A"/>
    <w:rsid w:val="00A74BC1"/>
    <w:rsid w:val="00A82359"/>
    <w:rsid w:val="00A8464C"/>
    <w:rsid w:val="00A865D2"/>
    <w:rsid w:val="00A90BF8"/>
    <w:rsid w:val="00A9142F"/>
    <w:rsid w:val="00A92FE3"/>
    <w:rsid w:val="00A93934"/>
    <w:rsid w:val="00A93C09"/>
    <w:rsid w:val="00A94C20"/>
    <w:rsid w:val="00A96629"/>
    <w:rsid w:val="00A96EFF"/>
    <w:rsid w:val="00AA0D4A"/>
    <w:rsid w:val="00AA227F"/>
    <w:rsid w:val="00AA3BC7"/>
    <w:rsid w:val="00AA68FE"/>
    <w:rsid w:val="00AA754A"/>
    <w:rsid w:val="00AB099E"/>
    <w:rsid w:val="00AB2640"/>
    <w:rsid w:val="00AB3830"/>
    <w:rsid w:val="00AB4328"/>
    <w:rsid w:val="00AB6665"/>
    <w:rsid w:val="00AB6CA6"/>
    <w:rsid w:val="00AC0824"/>
    <w:rsid w:val="00AC1B10"/>
    <w:rsid w:val="00AC4767"/>
    <w:rsid w:val="00AC4EBF"/>
    <w:rsid w:val="00AC57BA"/>
    <w:rsid w:val="00AD19BF"/>
    <w:rsid w:val="00AD412E"/>
    <w:rsid w:val="00AD50B1"/>
    <w:rsid w:val="00AD720A"/>
    <w:rsid w:val="00AD78B2"/>
    <w:rsid w:val="00AE0A2E"/>
    <w:rsid w:val="00AE354C"/>
    <w:rsid w:val="00AE7FC5"/>
    <w:rsid w:val="00AF094D"/>
    <w:rsid w:val="00AF4B07"/>
    <w:rsid w:val="00AF4F84"/>
    <w:rsid w:val="00AF5CC8"/>
    <w:rsid w:val="00AF6186"/>
    <w:rsid w:val="00AF7A3A"/>
    <w:rsid w:val="00B00833"/>
    <w:rsid w:val="00B03E94"/>
    <w:rsid w:val="00B160DB"/>
    <w:rsid w:val="00B1668E"/>
    <w:rsid w:val="00B20836"/>
    <w:rsid w:val="00B21E1F"/>
    <w:rsid w:val="00B22313"/>
    <w:rsid w:val="00B235BB"/>
    <w:rsid w:val="00B2535F"/>
    <w:rsid w:val="00B25805"/>
    <w:rsid w:val="00B25F86"/>
    <w:rsid w:val="00B25FE6"/>
    <w:rsid w:val="00B27A44"/>
    <w:rsid w:val="00B30BBF"/>
    <w:rsid w:val="00B328B0"/>
    <w:rsid w:val="00B33C03"/>
    <w:rsid w:val="00B36048"/>
    <w:rsid w:val="00B41FA9"/>
    <w:rsid w:val="00B44164"/>
    <w:rsid w:val="00B44E56"/>
    <w:rsid w:val="00B45288"/>
    <w:rsid w:val="00B46543"/>
    <w:rsid w:val="00B46B47"/>
    <w:rsid w:val="00B47929"/>
    <w:rsid w:val="00B47D33"/>
    <w:rsid w:val="00B51E48"/>
    <w:rsid w:val="00B52BE0"/>
    <w:rsid w:val="00B54133"/>
    <w:rsid w:val="00B55EFF"/>
    <w:rsid w:val="00B60BE6"/>
    <w:rsid w:val="00B611DD"/>
    <w:rsid w:val="00B6347E"/>
    <w:rsid w:val="00B63926"/>
    <w:rsid w:val="00B658FC"/>
    <w:rsid w:val="00B701ED"/>
    <w:rsid w:val="00B7137D"/>
    <w:rsid w:val="00B715CE"/>
    <w:rsid w:val="00B71D1C"/>
    <w:rsid w:val="00B71E56"/>
    <w:rsid w:val="00B74831"/>
    <w:rsid w:val="00B76F22"/>
    <w:rsid w:val="00B8086C"/>
    <w:rsid w:val="00B83545"/>
    <w:rsid w:val="00B84182"/>
    <w:rsid w:val="00B85A4A"/>
    <w:rsid w:val="00B861B4"/>
    <w:rsid w:val="00B86DFE"/>
    <w:rsid w:val="00B90990"/>
    <w:rsid w:val="00B922FF"/>
    <w:rsid w:val="00B9281E"/>
    <w:rsid w:val="00B9316A"/>
    <w:rsid w:val="00B93925"/>
    <w:rsid w:val="00B93B26"/>
    <w:rsid w:val="00B93ECF"/>
    <w:rsid w:val="00B95187"/>
    <w:rsid w:val="00B95999"/>
    <w:rsid w:val="00B95F02"/>
    <w:rsid w:val="00B9776F"/>
    <w:rsid w:val="00BA2D55"/>
    <w:rsid w:val="00BA366A"/>
    <w:rsid w:val="00BA4D4F"/>
    <w:rsid w:val="00BA6D83"/>
    <w:rsid w:val="00BA71B1"/>
    <w:rsid w:val="00BB0637"/>
    <w:rsid w:val="00BB3000"/>
    <w:rsid w:val="00BB345F"/>
    <w:rsid w:val="00BB492E"/>
    <w:rsid w:val="00BB68EA"/>
    <w:rsid w:val="00BC0099"/>
    <w:rsid w:val="00BC1C27"/>
    <w:rsid w:val="00BC2BDC"/>
    <w:rsid w:val="00BC4A8F"/>
    <w:rsid w:val="00BC5D93"/>
    <w:rsid w:val="00BC6B17"/>
    <w:rsid w:val="00BC6BBF"/>
    <w:rsid w:val="00BC7C12"/>
    <w:rsid w:val="00BD1572"/>
    <w:rsid w:val="00BD3688"/>
    <w:rsid w:val="00BD7B6D"/>
    <w:rsid w:val="00BE0BE9"/>
    <w:rsid w:val="00BE14E3"/>
    <w:rsid w:val="00BE2B85"/>
    <w:rsid w:val="00BE3774"/>
    <w:rsid w:val="00BE41E5"/>
    <w:rsid w:val="00BE67FD"/>
    <w:rsid w:val="00BF0E08"/>
    <w:rsid w:val="00BF1E56"/>
    <w:rsid w:val="00BF4109"/>
    <w:rsid w:val="00BF4CC3"/>
    <w:rsid w:val="00C00C42"/>
    <w:rsid w:val="00C054C7"/>
    <w:rsid w:val="00C057B5"/>
    <w:rsid w:val="00C06E15"/>
    <w:rsid w:val="00C1093D"/>
    <w:rsid w:val="00C1262B"/>
    <w:rsid w:val="00C221EA"/>
    <w:rsid w:val="00C22687"/>
    <w:rsid w:val="00C238A8"/>
    <w:rsid w:val="00C243E3"/>
    <w:rsid w:val="00C25458"/>
    <w:rsid w:val="00C26BC9"/>
    <w:rsid w:val="00C30074"/>
    <w:rsid w:val="00C30A29"/>
    <w:rsid w:val="00C3231C"/>
    <w:rsid w:val="00C32E4D"/>
    <w:rsid w:val="00C333A0"/>
    <w:rsid w:val="00C3598E"/>
    <w:rsid w:val="00C36408"/>
    <w:rsid w:val="00C36A81"/>
    <w:rsid w:val="00C3730C"/>
    <w:rsid w:val="00C41974"/>
    <w:rsid w:val="00C51DB4"/>
    <w:rsid w:val="00C53F4A"/>
    <w:rsid w:val="00C54125"/>
    <w:rsid w:val="00C541B0"/>
    <w:rsid w:val="00C55B54"/>
    <w:rsid w:val="00C6098E"/>
    <w:rsid w:val="00C611D8"/>
    <w:rsid w:val="00C6152C"/>
    <w:rsid w:val="00C63990"/>
    <w:rsid w:val="00C64EF6"/>
    <w:rsid w:val="00C65050"/>
    <w:rsid w:val="00C655C0"/>
    <w:rsid w:val="00C707C6"/>
    <w:rsid w:val="00C74810"/>
    <w:rsid w:val="00C80EEA"/>
    <w:rsid w:val="00C818F0"/>
    <w:rsid w:val="00C81A8D"/>
    <w:rsid w:val="00C827DC"/>
    <w:rsid w:val="00C869B8"/>
    <w:rsid w:val="00C90D68"/>
    <w:rsid w:val="00C939FE"/>
    <w:rsid w:val="00C95960"/>
    <w:rsid w:val="00C96DAD"/>
    <w:rsid w:val="00C970AC"/>
    <w:rsid w:val="00CA227C"/>
    <w:rsid w:val="00CA33A8"/>
    <w:rsid w:val="00CA4BDA"/>
    <w:rsid w:val="00CB02BB"/>
    <w:rsid w:val="00CB1BCF"/>
    <w:rsid w:val="00CB1F66"/>
    <w:rsid w:val="00CB2750"/>
    <w:rsid w:val="00CB2951"/>
    <w:rsid w:val="00CB38F3"/>
    <w:rsid w:val="00CB56E1"/>
    <w:rsid w:val="00CB5F8E"/>
    <w:rsid w:val="00CB5FDD"/>
    <w:rsid w:val="00CC31A3"/>
    <w:rsid w:val="00CC3FE5"/>
    <w:rsid w:val="00CC6F1C"/>
    <w:rsid w:val="00CC71E6"/>
    <w:rsid w:val="00CC77A5"/>
    <w:rsid w:val="00CC7A06"/>
    <w:rsid w:val="00CD1E2C"/>
    <w:rsid w:val="00CD22C5"/>
    <w:rsid w:val="00CD282B"/>
    <w:rsid w:val="00CD2E85"/>
    <w:rsid w:val="00CD4C35"/>
    <w:rsid w:val="00CD5BEE"/>
    <w:rsid w:val="00CD7369"/>
    <w:rsid w:val="00CD7B9F"/>
    <w:rsid w:val="00CE0B0E"/>
    <w:rsid w:val="00CE17BF"/>
    <w:rsid w:val="00CE3831"/>
    <w:rsid w:val="00CE4FB1"/>
    <w:rsid w:val="00CF042C"/>
    <w:rsid w:val="00CF0B26"/>
    <w:rsid w:val="00CF49CE"/>
    <w:rsid w:val="00CF7681"/>
    <w:rsid w:val="00D00ABB"/>
    <w:rsid w:val="00D01BCC"/>
    <w:rsid w:val="00D02EEC"/>
    <w:rsid w:val="00D03551"/>
    <w:rsid w:val="00D06087"/>
    <w:rsid w:val="00D0679C"/>
    <w:rsid w:val="00D06A63"/>
    <w:rsid w:val="00D07E0E"/>
    <w:rsid w:val="00D11478"/>
    <w:rsid w:val="00D1248D"/>
    <w:rsid w:val="00D12B16"/>
    <w:rsid w:val="00D13F45"/>
    <w:rsid w:val="00D15ED0"/>
    <w:rsid w:val="00D21B3E"/>
    <w:rsid w:val="00D21FED"/>
    <w:rsid w:val="00D22BD7"/>
    <w:rsid w:val="00D24251"/>
    <w:rsid w:val="00D250D7"/>
    <w:rsid w:val="00D343E2"/>
    <w:rsid w:val="00D361A2"/>
    <w:rsid w:val="00D37C1F"/>
    <w:rsid w:val="00D42AFF"/>
    <w:rsid w:val="00D44C2E"/>
    <w:rsid w:val="00D45414"/>
    <w:rsid w:val="00D45500"/>
    <w:rsid w:val="00D466F7"/>
    <w:rsid w:val="00D522CA"/>
    <w:rsid w:val="00D566BD"/>
    <w:rsid w:val="00D56747"/>
    <w:rsid w:val="00D576CF"/>
    <w:rsid w:val="00D57A4D"/>
    <w:rsid w:val="00D60AA7"/>
    <w:rsid w:val="00D6435F"/>
    <w:rsid w:val="00D71776"/>
    <w:rsid w:val="00D75E28"/>
    <w:rsid w:val="00D76CD2"/>
    <w:rsid w:val="00D772C2"/>
    <w:rsid w:val="00D8008E"/>
    <w:rsid w:val="00D82C45"/>
    <w:rsid w:val="00D84F5A"/>
    <w:rsid w:val="00D85123"/>
    <w:rsid w:val="00D87B4E"/>
    <w:rsid w:val="00D908A8"/>
    <w:rsid w:val="00D91F1D"/>
    <w:rsid w:val="00D977B6"/>
    <w:rsid w:val="00DA050E"/>
    <w:rsid w:val="00DA1761"/>
    <w:rsid w:val="00DA2B28"/>
    <w:rsid w:val="00DA4A31"/>
    <w:rsid w:val="00DA5DF4"/>
    <w:rsid w:val="00DA79D8"/>
    <w:rsid w:val="00DA7B04"/>
    <w:rsid w:val="00DB123A"/>
    <w:rsid w:val="00DB36C2"/>
    <w:rsid w:val="00DB79F2"/>
    <w:rsid w:val="00DC169B"/>
    <w:rsid w:val="00DC182E"/>
    <w:rsid w:val="00DC2AB9"/>
    <w:rsid w:val="00DC2F9B"/>
    <w:rsid w:val="00DC6251"/>
    <w:rsid w:val="00DC63F0"/>
    <w:rsid w:val="00DC6854"/>
    <w:rsid w:val="00DC7EBD"/>
    <w:rsid w:val="00DD4AAB"/>
    <w:rsid w:val="00DD5146"/>
    <w:rsid w:val="00DD6EE5"/>
    <w:rsid w:val="00DE036A"/>
    <w:rsid w:val="00DE386C"/>
    <w:rsid w:val="00DE4D35"/>
    <w:rsid w:val="00DE64ED"/>
    <w:rsid w:val="00DE7E48"/>
    <w:rsid w:val="00DF098B"/>
    <w:rsid w:val="00DF11C4"/>
    <w:rsid w:val="00DF2037"/>
    <w:rsid w:val="00DF210C"/>
    <w:rsid w:val="00DF4B6A"/>
    <w:rsid w:val="00DF50E1"/>
    <w:rsid w:val="00E00434"/>
    <w:rsid w:val="00E0100C"/>
    <w:rsid w:val="00E01E65"/>
    <w:rsid w:val="00E0241E"/>
    <w:rsid w:val="00E02C09"/>
    <w:rsid w:val="00E03723"/>
    <w:rsid w:val="00E04D59"/>
    <w:rsid w:val="00E07DA1"/>
    <w:rsid w:val="00E115C3"/>
    <w:rsid w:val="00E123CB"/>
    <w:rsid w:val="00E13E2F"/>
    <w:rsid w:val="00E14B72"/>
    <w:rsid w:val="00E1672F"/>
    <w:rsid w:val="00E17CA5"/>
    <w:rsid w:val="00E20E13"/>
    <w:rsid w:val="00E21DBC"/>
    <w:rsid w:val="00E24EAA"/>
    <w:rsid w:val="00E267AB"/>
    <w:rsid w:val="00E26FCD"/>
    <w:rsid w:val="00E275D7"/>
    <w:rsid w:val="00E27DBE"/>
    <w:rsid w:val="00E32AB1"/>
    <w:rsid w:val="00E34670"/>
    <w:rsid w:val="00E36C71"/>
    <w:rsid w:val="00E40404"/>
    <w:rsid w:val="00E40595"/>
    <w:rsid w:val="00E4529A"/>
    <w:rsid w:val="00E459C6"/>
    <w:rsid w:val="00E47589"/>
    <w:rsid w:val="00E50658"/>
    <w:rsid w:val="00E55CFB"/>
    <w:rsid w:val="00E575A7"/>
    <w:rsid w:val="00E64915"/>
    <w:rsid w:val="00E65B9C"/>
    <w:rsid w:val="00E661D4"/>
    <w:rsid w:val="00E70091"/>
    <w:rsid w:val="00E720F5"/>
    <w:rsid w:val="00E7447D"/>
    <w:rsid w:val="00E75CE0"/>
    <w:rsid w:val="00E75F33"/>
    <w:rsid w:val="00E76D47"/>
    <w:rsid w:val="00E77CB3"/>
    <w:rsid w:val="00E849F7"/>
    <w:rsid w:val="00E8543F"/>
    <w:rsid w:val="00E86903"/>
    <w:rsid w:val="00E86A88"/>
    <w:rsid w:val="00E90302"/>
    <w:rsid w:val="00E915E8"/>
    <w:rsid w:val="00E91B4F"/>
    <w:rsid w:val="00E91C5F"/>
    <w:rsid w:val="00E97396"/>
    <w:rsid w:val="00EA185E"/>
    <w:rsid w:val="00EA592A"/>
    <w:rsid w:val="00EA7759"/>
    <w:rsid w:val="00EB14E4"/>
    <w:rsid w:val="00EB32A5"/>
    <w:rsid w:val="00EB34ED"/>
    <w:rsid w:val="00EB4C8B"/>
    <w:rsid w:val="00EB776B"/>
    <w:rsid w:val="00EB7BE0"/>
    <w:rsid w:val="00EB7E63"/>
    <w:rsid w:val="00EB7F11"/>
    <w:rsid w:val="00EC08CB"/>
    <w:rsid w:val="00EC315E"/>
    <w:rsid w:val="00ED0223"/>
    <w:rsid w:val="00ED03F2"/>
    <w:rsid w:val="00ED077C"/>
    <w:rsid w:val="00ED0AB9"/>
    <w:rsid w:val="00ED1190"/>
    <w:rsid w:val="00ED6544"/>
    <w:rsid w:val="00EE0277"/>
    <w:rsid w:val="00EE0DFC"/>
    <w:rsid w:val="00EE1B3C"/>
    <w:rsid w:val="00EE2815"/>
    <w:rsid w:val="00EE339C"/>
    <w:rsid w:val="00EE3E00"/>
    <w:rsid w:val="00EE5DD2"/>
    <w:rsid w:val="00EF0A2E"/>
    <w:rsid w:val="00EF28D5"/>
    <w:rsid w:val="00EF364B"/>
    <w:rsid w:val="00EF5501"/>
    <w:rsid w:val="00EF63C2"/>
    <w:rsid w:val="00F00A79"/>
    <w:rsid w:val="00F00E86"/>
    <w:rsid w:val="00F038E6"/>
    <w:rsid w:val="00F0553E"/>
    <w:rsid w:val="00F0754A"/>
    <w:rsid w:val="00F07C1E"/>
    <w:rsid w:val="00F105DB"/>
    <w:rsid w:val="00F119BB"/>
    <w:rsid w:val="00F126F2"/>
    <w:rsid w:val="00F132BC"/>
    <w:rsid w:val="00F13D80"/>
    <w:rsid w:val="00F16AAA"/>
    <w:rsid w:val="00F21161"/>
    <w:rsid w:val="00F218EF"/>
    <w:rsid w:val="00F21BC7"/>
    <w:rsid w:val="00F265E8"/>
    <w:rsid w:val="00F266A2"/>
    <w:rsid w:val="00F32269"/>
    <w:rsid w:val="00F4115D"/>
    <w:rsid w:val="00F52693"/>
    <w:rsid w:val="00F555C4"/>
    <w:rsid w:val="00F56A6F"/>
    <w:rsid w:val="00F5709C"/>
    <w:rsid w:val="00F63056"/>
    <w:rsid w:val="00F64EF1"/>
    <w:rsid w:val="00F65DC2"/>
    <w:rsid w:val="00F70AB3"/>
    <w:rsid w:val="00F7279C"/>
    <w:rsid w:val="00F76FE3"/>
    <w:rsid w:val="00F77BDB"/>
    <w:rsid w:val="00F81664"/>
    <w:rsid w:val="00F8236F"/>
    <w:rsid w:val="00F841D3"/>
    <w:rsid w:val="00F8765F"/>
    <w:rsid w:val="00F904A5"/>
    <w:rsid w:val="00F90767"/>
    <w:rsid w:val="00F923EF"/>
    <w:rsid w:val="00F93FFD"/>
    <w:rsid w:val="00FA4479"/>
    <w:rsid w:val="00FA685B"/>
    <w:rsid w:val="00FA7A0F"/>
    <w:rsid w:val="00FB0C01"/>
    <w:rsid w:val="00FB2B45"/>
    <w:rsid w:val="00FB2D4E"/>
    <w:rsid w:val="00FB406F"/>
    <w:rsid w:val="00FC0FFC"/>
    <w:rsid w:val="00FC140B"/>
    <w:rsid w:val="00FC18F2"/>
    <w:rsid w:val="00FC39E5"/>
    <w:rsid w:val="00FC3A78"/>
    <w:rsid w:val="00FC4AB1"/>
    <w:rsid w:val="00FC4BD8"/>
    <w:rsid w:val="00FD065E"/>
    <w:rsid w:val="00FD1005"/>
    <w:rsid w:val="00FD49A2"/>
    <w:rsid w:val="00FD6502"/>
    <w:rsid w:val="00FD6C75"/>
    <w:rsid w:val="00FE63BC"/>
    <w:rsid w:val="00FE6969"/>
    <w:rsid w:val="00FE71B3"/>
    <w:rsid w:val="00FF245F"/>
    <w:rsid w:val="00FF42C5"/>
    <w:rsid w:val="00FF43CB"/>
    <w:rsid w:val="00FF6F57"/>
    <w:rsid w:val="00FF71C4"/>
    <w:rsid w:val="00FF7F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3D32DC"/>
    <w:pPr>
      <w:jc w:val="both"/>
    </w:pPr>
    <w:rPr>
      <w:rFonts w:eastAsiaTheme="minorEastAsia"/>
      <w:sz w:val="24"/>
    </w:rPr>
  </w:style>
  <w:style w:type="paragraph" w:styleId="Titolo1">
    <w:name w:val="heading 1"/>
    <w:basedOn w:val="Normale"/>
    <w:next w:val="Normale"/>
    <w:link w:val="Titolo1Carattere"/>
    <w:uiPriority w:val="99"/>
    <w:semiHidden/>
    <w:rsid w:val="003D32DC"/>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3D32DC"/>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3D32DC"/>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3D32DC"/>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3D32DC"/>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3D32DC"/>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3D32DC"/>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3D32DC"/>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3D32DC"/>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3D32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32DC"/>
    <w:rPr>
      <w:rFonts w:ascii="Tahoma" w:eastAsiaTheme="minorEastAsia" w:hAnsi="Tahoma" w:cs="Tahoma"/>
      <w:sz w:val="16"/>
      <w:szCs w:val="16"/>
    </w:rPr>
  </w:style>
  <w:style w:type="character" w:styleId="Titolodellibro">
    <w:name w:val="Book Title"/>
    <w:uiPriority w:val="99"/>
    <w:semiHidden/>
    <w:qFormat/>
    <w:rsid w:val="003D32DC"/>
    <w:rPr>
      <w:i/>
      <w:iCs/>
      <w:smallCaps/>
      <w:spacing w:val="5"/>
    </w:rPr>
  </w:style>
  <w:style w:type="paragraph" w:customStyle="1" w:styleId="ECHRHeader">
    <w:name w:val="ECHR_Header"/>
    <w:aliases w:val="Ju_Header"/>
    <w:basedOn w:val="Intestazione"/>
    <w:uiPriority w:val="4"/>
    <w:qFormat/>
    <w:rsid w:val="003D32DC"/>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3D32DC"/>
    <w:pPr>
      <w:jc w:val="left"/>
    </w:pPr>
    <w:rPr>
      <w:sz w:val="8"/>
    </w:rPr>
  </w:style>
  <w:style w:type="character" w:styleId="Enfasigrassetto">
    <w:name w:val="Strong"/>
    <w:uiPriority w:val="99"/>
    <w:semiHidden/>
    <w:qFormat/>
    <w:rsid w:val="003D32DC"/>
    <w:rPr>
      <w:b/>
      <w:bCs/>
    </w:rPr>
  </w:style>
  <w:style w:type="paragraph" w:styleId="Nessunaspaziatura">
    <w:name w:val="No Spacing"/>
    <w:basedOn w:val="Normale"/>
    <w:link w:val="NessunaspaziaturaCarattere"/>
    <w:semiHidden/>
    <w:qFormat/>
    <w:rsid w:val="003D32DC"/>
    <w:rPr>
      <w:sz w:val="22"/>
    </w:rPr>
  </w:style>
  <w:style w:type="character" w:customStyle="1" w:styleId="NessunaspaziaturaCarattere">
    <w:name w:val="Nessuna spaziatura Carattere"/>
    <w:basedOn w:val="Carpredefinitoparagrafo"/>
    <w:link w:val="Nessunaspaziatura"/>
    <w:semiHidden/>
    <w:rsid w:val="003D32DC"/>
    <w:rPr>
      <w:rFonts w:eastAsiaTheme="minorEastAsia"/>
    </w:rPr>
  </w:style>
  <w:style w:type="paragraph" w:customStyle="1" w:styleId="ECHRFooterLine">
    <w:name w:val="ECHR_Footer_Line"/>
    <w:aliases w:val="Footer_Line"/>
    <w:basedOn w:val="Normale"/>
    <w:next w:val="ECHRFooter"/>
    <w:uiPriority w:val="57"/>
    <w:semiHidden/>
    <w:rsid w:val="003D32DC"/>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e"/>
    <w:uiPriority w:val="5"/>
    <w:rsid w:val="003D32DC"/>
    <w:pPr>
      <w:numPr>
        <w:numId w:val="16"/>
      </w:numPr>
      <w:jc w:val="left"/>
    </w:pPr>
    <w:rPr>
      <w:b/>
    </w:rPr>
  </w:style>
  <w:style w:type="paragraph" w:customStyle="1" w:styleId="OpiPara">
    <w:name w:val="Opi_Para"/>
    <w:basedOn w:val="ECHRPara"/>
    <w:uiPriority w:val="46"/>
    <w:qFormat/>
    <w:rsid w:val="003D32DC"/>
  </w:style>
  <w:style w:type="paragraph" w:customStyle="1" w:styleId="JuParaSub">
    <w:name w:val="Ju_Para_Sub"/>
    <w:basedOn w:val="ECHRPara"/>
    <w:uiPriority w:val="13"/>
    <w:qFormat/>
    <w:rsid w:val="003D32DC"/>
    <w:pPr>
      <w:ind w:left="284"/>
    </w:pPr>
  </w:style>
  <w:style w:type="paragraph" w:customStyle="1" w:styleId="ECHRTitleCentre3">
    <w:name w:val="ECHR_Title_Centre_3"/>
    <w:aliases w:val="Ju_H_Article"/>
    <w:basedOn w:val="Normale"/>
    <w:next w:val="ECHRParaQuote"/>
    <w:uiPriority w:val="27"/>
    <w:qFormat/>
    <w:rsid w:val="003D32DC"/>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3D32DC"/>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3D32DC"/>
  </w:style>
  <w:style w:type="paragraph" w:customStyle="1" w:styleId="OpiQuot">
    <w:name w:val="Opi_Quot"/>
    <w:basedOn w:val="ECHRParaQuote"/>
    <w:uiPriority w:val="48"/>
    <w:qFormat/>
    <w:rsid w:val="003D32DC"/>
  </w:style>
  <w:style w:type="paragraph" w:customStyle="1" w:styleId="OpiQuotSub">
    <w:name w:val="Opi_Quot_Sub"/>
    <w:basedOn w:val="JuQuotSub"/>
    <w:uiPriority w:val="49"/>
    <w:qFormat/>
    <w:rsid w:val="003D32DC"/>
  </w:style>
  <w:style w:type="paragraph" w:customStyle="1" w:styleId="ECHRTitleCentre2">
    <w:name w:val="ECHR_Title_Centre_2"/>
    <w:aliases w:val="Dec_H_Case"/>
    <w:basedOn w:val="Normale"/>
    <w:next w:val="ECHRPara"/>
    <w:uiPriority w:val="8"/>
    <w:rsid w:val="003D32DC"/>
    <w:pPr>
      <w:spacing w:after="240"/>
      <w:jc w:val="center"/>
      <w:outlineLvl w:val="0"/>
    </w:pPr>
    <w:rPr>
      <w:rFonts w:asciiTheme="majorHAnsi" w:hAnsiTheme="majorHAnsi"/>
    </w:rPr>
  </w:style>
  <w:style w:type="paragraph" w:customStyle="1" w:styleId="JuTitle">
    <w:name w:val="Ju_Title"/>
    <w:basedOn w:val="Normale"/>
    <w:next w:val="ECHRPara"/>
    <w:uiPriority w:val="3"/>
    <w:rsid w:val="003D32DC"/>
    <w:pPr>
      <w:spacing w:before="720" w:after="240"/>
      <w:jc w:val="center"/>
      <w:outlineLvl w:val="0"/>
    </w:pPr>
    <w:rPr>
      <w:rFonts w:asciiTheme="majorHAnsi" w:hAnsiTheme="majorHAnsi"/>
      <w:b/>
      <w:caps/>
    </w:rPr>
  </w:style>
  <w:style w:type="paragraph" w:styleId="Titolo">
    <w:name w:val="Title"/>
    <w:basedOn w:val="Normale"/>
    <w:next w:val="Normale"/>
    <w:link w:val="TitoloCarattere"/>
    <w:uiPriority w:val="99"/>
    <w:semiHidden/>
    <w:qFormat/>
    <w:rsid w:val="003D32D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3D32DC"/>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3D32DC"/>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3D32DC"/>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3D32DC"/>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3D32DC"/>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3D32DC"/>
    <w:pPr>
      <w:keepNext/>
      <w:keepLines/>
      <w:spacing w:before="240" w:after="120"/>
      <w:ind w:left="1236"/>
    </w:pPr>
    <w:rPr>
      <w:sz w:val="20"/>
    </w:rPr>
  </w:style>
  <w:style w:type="paragraph" w:customStyle="1" w:styleId="JuQuotSub">
    <w:name w:val="Ju_Quot_Sub"/>
    <w:basedOn w:val="ECHRParaQuote"/>
    <w:uiPriority w:val="15"/>
    <w:qFormat/>
    <w:rsid w:val="003D32DC"/>
    <w:pPr>
      <w:ind w:left="567"/>
    </w:pPr>
  </w:style>
  <w:style w:type="paragraph" w:customStyle="1" w:styleId="JuInitialled">
    <w:name w:val="Ju_Initialled"/>
    <w:basedOn w:val="Normale"/>
    <w:uiPriority w:val="31"/>
    <w:qFormat/>
    <w:rsid w:val="003D32DC"/>
    <w:pPr>
      <w:tabs>
        <w:tab w:val="center" w:pos="6407"/>
      </w:tabs>
      <w:spacing w:before="720"/>
      <w:jc w:val="right"/>
    </w:pPr>
  </w:style>
  <w:style w:type="paragraph" w:customStyle="1" w:styleId="OpiHA">
    <w:name w:val="Opi_H_A"/>
    <w:basedOn w:val="ECHRHeading1"/>
    <w:next w:val="OpiPara"/>
    <w:uiPriority w:val="41"/>
    <w:qFormat/>
    <w:rsid w:val="003D32DC"/>
    <w:pPr>
      <w:tabs>
        <w:tab w:val="clear" w:pos="357"/>
      </w:tabs>
      <w:outlineLvl w:val="1"/>
    </w:pPr>
    <w:rPr>
      <w:b/>
    </w:rPr>
  </w:style>
  <w:style w:type="paragraph" w:styleId="Intestazione">
    <w:name w:val="header"/>
    <w:basedOn w:val="Normale"/>
    <w:link w:val="IntestazioneCarattere"/>
    <w:uiPriority w:val="57"/>
    <w:semiHidden/>
    <w:rsid w:val="003D32DC"/>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3D32DC"/>
    <w:rPr>
      <w:sz w:val="24"/>
    </w:rPr>
  </w:style>
  <w:style w:type="character" w:customStyle="1" w:styleId="Titolo1Carattere">
    <w:name w:val="Titolo 1 Carattere"/>
    <w:basedOn w:val="Carpredefinitoparagrafo"/>
    <w:link w:val="Titolo1"/>
    <w:uiPriority w:val="99"/>
    <w:semiHidden/>
    <w:rsid w:val="003D32DC"/>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uiPriority w:val="19"/>
    <w:qFormat/>
    <w:rsid w:val="003D32DC"/>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Titolo2"/>
    <w:next w:val="ECHRPara"/>
    <w:uiPriority w:val="20"/>
    <w:qFormat/>
    <w:rsid w:val="003D32DC"/>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3D32DC"/>
    <w:rPr>
      <w:rFonts w:asciiTheme="majorHAnsi" w:eastAsiaTheme="majorEastAsia" w:hAnsiTheme="majorHAnsi" w:cstheme="majorBidi"/>
      <w:b/>
      <w:bCs/>
      <w:color w:val="4D4D4D"/>
      <w:sz w:val="26"/>
      <w:szCs w:val="26"/>
    </w:rPr>
  </w:style>
  <w:style w:type="character" w:customStyle="1" w:styleId="JUNAMES">
    <w:name w:val="JU_NAMES"/>
    <w:uiPriority w:val="17"/>
    <w:qFormat/>
    <w:rsid w:val="003D32DC"/>
    <w:rPr>
      <w:caps w:val="0"/>
      <w:smallCaps/>
    </w:rPr>
  </w:style>
  <w:style w:type="paragraph" w:customStyle="1" w:styleId="ECHRDecisionBody">
    <w:name w:val="ECHR_Decision_Body"/>
    <w:aliases w:val="Ju_Judges"/>
    <w:basedOn w:val="Normale"/>
    <w:uiPriority w:val="11"/>
    <w:qFormat/>
    <w:rsid w:val="003D32DC"/>
    <w:pPr>
      <w:tabs>
        <w:tab w:val="left" w:pos="567"/>
        <w:tab w:val="left" w:pos="1134"/>
      </w:tabs>
      <w:jc w:val="left"/>
    </w:pPr>
  </w:style>
  <w:style w:type="character" w:customStyle="1" w:styleId="Titolo3Carattere">
    <w:name w:val="Titolo 3 Carattere"/>
    <w:basedOn w:val="Carpredefinitoparagrafo"/>
    <w:link w:val="Titolo3"/>
    <w:uiPriority w:val="99"/>
    <w:semiHidden/>
    <w:rsid w:val="003D32DC"/>
    <w:rPr>
      <w:rFonts w:asciiTheme="majorHAnsi" w:eastAsiaTheme="majorEastAsia" w:hAnsiTheme="majorHAnsi" w:cstheme="majorBidi"/>
      <w:b/>
      <w:bCs/>
      <w:color w:val="5F5F5F"/>
      <w:sz w:val="24"/>
    </w:rPr>
  </w:style>
  <w:style w:type="paragraph" w:customStyle="1" w:styleId="ECHRPara">
    <w:name w:val="ECHR_Para"/>
    <w:aliases w:val="Ju_Para"/>
    <w:basedOn w:val="Normale"/>
    <w:link w:val="ECHRParaChar"/>
    <w:uiPriority w:val="12"/>
    <w:qFormat/>
    <w:rsid w:val="003D32DC"/>
    <w:pPr>
      <w:ind w:firstLine="284"/>
    </w:pPr>
  </w:style>
  <w:style w:type="character" w:customStyle="1" w:styleId="Titolo4Carattere">
    <w:name w:val="Titolo 4 Carattere"/>
    <w:basedOn w:val="Carpredefinitoparagrafo"/>
    <w:link w:val="Titolo4"/>
    <w:uiPriority w:val="99"/>
    <w:semiHidden/>
    <w:rsid w:val="003D32DC"/>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3D32DC"/>
    <w:rPr>
      <w:rFonts w:asciiTheme="majorHAnsi" w:eastAsiaTheme="majorEastAsia" w:hAnsiTheme="majorHAnsi" w:cstheme="majorBidi"/>
      <w:b/>
      <w:bCs/>
      <w:color w:val="808080"/>
    </w:rPr>
  </w:style>
  <w:style w:type="character" w:styleId="Enfasidelicata">
    <w:name w:val="Subtle Emphasis"/>
    <w:uiPriority w:val="99"/>
    <w:semiHidden/>
    <w:qFormat/>
    <w:rsid w:val="003D32DC"/>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Normale"/>
    <w:next w:val="ECHRPara"/>
    <w:uiPriority w:val="18"/>
    <w:qFormat/>
    <w:rsid w:val="003D32DC"/>
    <w:pPr>
      <w:keepNext/>
      <w:keepLines/>
      <w:spacing w:before="720" w:after="240"/>
      <w:outlineLvl w:val="0"/>
    </w:pPr>
    <w:rPr>
      <w:rFonts w:asciiTheme="majorHAnsi" w:hAnsiTheme="majorHAnsi"/>
      <w:sz w:val="28"/>
    </w:rPr>
  </w:style>
  <w:style w:type="character" w:styleId="Enfasicorsivo">
    <w:name w:val="Emphasis"/>
    <w:uiPriority w:val="99"/>
    <w:semiHidden/>
    <w:qFormat/>
    <w:rsid w:val="003D32DC"/>
    <w:rPr>
      <w:b/>
      <w:bCs/>
      <w:i/>
      <w:iCs/>
      <w:spacing w:val="10"/>
      <w:bdr w:val="none" w:sz="0" w:space="0" w:color="auto"/>
      <w:shd w:val="clear" w:color="auto" w:fill="auto"/>
    </w:rPr>
  </w:style>
  <w:style w:type="paragraph" w:styleId="Pidipagina">
    <w:name w:val="footer"/>
    <w:basedOn w:val="Normale"/>
    <w:link w:val="PidipaginaCarattere"/>
    <w:uiPriority w:val="57"/>
    <w:semiHidden/>
    <w:rsid w:val="003D32DC"/>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3D32DC"/>
    <w:rPr>
      <w:sz w:val="24"/>
    </w:rPr>
  </w:style>
  <w:style w:type="character" w:styleId="Rimandonotaapidipagina">
    <w:name w:val="footnote reference"/>
    <w:basedOn w:val="Carpredefinitoparagrafo"/>
    <w:uiPriority w:val="99"/>
    <w:semiHidden/>
    <w:rsid w:val="003D32DC"/>
    <w:rPr>
      <w:vertAlign w:val="superscript"/>
    </w:rPr>
  </w:style>
  <w:style w:type="paragraph" w:styleId="Testonotaapidipagina">
    <w:name w:val="footnote text"/>
    <w:basedOn w:val="Normale"/>
    <w:link w:val="TestonotaapidipaginaCarattere"/>
    <w:uiPriority w:val="99"/>
    <w:semiHidden/>
    <w:rsid w:val="003D32DC"/>
    <w:rPr>
      <w:sz w:val="20"/>
      <w:szCs w:val="20"/>
    </w:rPr>
  </w:style>
  <w:style w:type="character" w:customStyle="1" w:styleId="TestonotaapidipaginaCarattere">
    <w:name w:val="Testo nota a piè di pagina Carattere"/>
    <w:basedOn w:val="Carpredefinitoparagrafo"/>
    <w:link w:val="Testonotaapidipagina"/>
    <w:uiPriority w:val="99"/>
    <w:semiHidden/>
    <w:rsid w:val="003D32DC"/>
    <w:rPr>
      <w:rFonts w:eastAsiaTheme="minorEastAsia"/>
      <w:sz w:val="20"/>
      <w:szCs w:val="20"/>
    </w:rPr>
  </w:style>
  <w:style w:type="character" w:customStyle="1" w:styleId="Titolo6Carattere">
    <w:name w:val="Titolo 6 Carattere"/>
    <w:basedOn w:val="Carpredefinitoparagrafo"/>
    <w:link w:val="Titolo6"/>
    <w:uiPriority w:val="99"/>
    <w:semiHidden/>
    <w:rsid w:val="003D32DC"/>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3D32DC"/>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3D32DC"/>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3D32DC"/>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3D32DC"/>
    <w:rPr>
      <w:color w:val="0072BC" w:themeColor="hyperlink"/>
      <w:u w:val="single"/>
    </w:rPr>
  </w:style>
  <w:style w:type="character" w:styleId="Enfasiintensa">
    <w:name w:val="Intense Emphasis"/>
    <w:uiPriority w:val="99"/>
    <w:semiHidden/>
    <w:qFormat/>
    <w:rsid w:val="003D32DC"/>
    <w:rPr>
      <w:b/>
      <w:bCs/>
    </w:rPr>
  </w:style>
  <w:style w:type="paragraph" w:styleId="Citazioneintensa">
    <w:name w:val="Intense Quote"/>
    <w:basedOn w:val="Normale"/>
    <w:next w:val="Normale"/>
    <w:link w:val="CitazioneintensaCarattere"/>
    <w:uiPriority w:val="99"/>
    <w:semiHidden/>
    <w:qFormat/>
    <w:rsid w:val="003D32DC"/>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3D32DC"/>
    <w:rPr>
      <w:rFonts w:eastAsiaTheme="minorEastAsia"/>
      <w:b/>
      <w:bCs/>
      <w:i/>
      <w:iCs/>
      <w:lang w:bidi="en-US"/>
    </w:rPr>
  </w:style>
  <w:style w:type="character" w:styleId="Riferimentointenso">
    <w:name w:val="Intense Reference"/>
    <w:uiPriority w:val="99"/>
    <w:semiHidden/>
    <w:qFormat/>
    <w:rsid w:val="003D32DC"/>
    <w:rPr>
      <w:smallCaps/>
      <w:spacing w:val="5"/>
      <w:u w:val="single"/>
    </w:rPr>
  </w:style>
  <w:style w:type="paragraph" w:styleId="Paragrafoelenco">
    <w:name w:val="List Paragraph"/>
    <w:basedOn w:val="Normale"/>
    <w:uiPriority w:val="99"/>
    <w:semiHidden/>
    <w:qFormat/>
    <w:rsid w:val="003D32DC"/>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3D32DC"/>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3D32DC"/>
    <w:rPr>
      <w:rFonts w:eastAsiaTheme="minorEastAsia"/>
      <w:i/>
      <w:iCs/>
      <w:lang w:bidi="en-US"/>
    </w:rPr>
  </w:style>
  <w:style w:type="character" w:styleId="Riferimentodelicato">
    <w:name w:val="Subtle Reference"/>
    <w:uiPriority w:val="99"/>
    <w:semiHidden/>
    <w:qFormat/>
    <w:rsid w:val="003D32DC"/>
    <w:rPr>
      <w:smallCaps/>
    </w:rPr>
  </w:style>
  <w:style w:type="table" w:styleId="Grigliatabella">
    <w:name w:val="Table Grid"/>
    <w:basedOn w:val="Tabellanormale"/>
    <w:uiPriority w:val="59"/>
    <w:semiHidden/>
    <w:rsid w:val="003D32D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3D32DC"/>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3D32DC"/>
    <w:pPr>
      <w:spacing w:after="60"/>
      <w:ind w:left="680" w:right="340" w:hanging="340"/>
    </w:pPr>
  </w:style>
  <w:style w:type="paragraph" w:styleId="Sommario3">
    <w:name w:val="toc 3"/>
    <w:basedOn w:val="Normale"/>
    <w:next w:val="Normale"/>
    <w:autoRedefine/>
    <w:uiPriority w:val="99"/>
    <w:semiHidden/>
    <w:rsid w:val="003D32DC"/>
    <w:pPr>
      <w:spacing w:after="60"/>
      <w:ind w:left="1020" w:right="340" w:hanging="340"/>
    </w:pPr>
  </w:style>
  <w:style w:type="paragraph" w:styleId="Sommario4">
    <w:name w:val="toc 4"/>
    <w:basedOn w:val="Normale"/>
    <w:next w:val="Normale"/>
    <w:autoRedefine/>
    <w:uiPriority w:val="99"/>
    <w:semiHidden/>
    <w:rsid w:val="003D32DC"/>
    <w:pPr>
      <w:tabs>
        <w:tab w:val="right" w:leader="dot" w:pos="9017"/>
      </w:tabs>
      <w:spacing w:after="60"/>
      <w:ind w:left="1361" w:right="340" w:hanging="340"/>
    </w:pPr>
  </w:style>
  <w:style w:type="paragraph" w:styleId="Sommario5">
    <w:name w:val="toc 5"/>
    <w:basedOn w:val="Normale"/>
    <w:next w:val="Normale"/>
    <w:autoRedefine/>
    <w:uiPriority w:val="99"/>
    <w:semiHidden/>
    <w:rsid w:val="003D32DC"/>
    <w:pPr>
      <w:spacing w:after="60"/>
      <w:ind w:left="1701" w:right="340" w:hanging="340"/>
    </w:pPr>
  </w:style>
  <w:style w:type="paragraph" w:styleId="Titolosommario">
    <w:name w:val="TOC Heading"/>
    <w:basedOn w:val="Titolo1"/>
    <w:next w:val="Normale"/>
    <w:uiPriority w:val="99"/>
    <w:semiHidden/>
    <w:qFormat/>
    <w:rsid w:val="003D32DC"/>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3D32DC"/>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Para_Quote"/>
    <w:basedOn w:val="Normale"/>
    <w:uiPriority w:val="14"/>
    <w:qFormat/>
    <w:rsid w:val="003D32DC"/>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3D32DC"/>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3D32DC"/>
    <w:pPr>
      <w:tabs>
        <w:tab w:val="center" w:pos="851"/>
        <w:tab w:val="center" w:pos="6407"/>
      </w:tabs>
      <w:spacing w:before="720"/>
      <w:jc w:val="left"/>
    </w:pPr>
  </w:style>
  <w:style w:type="paragraph" w:customStyle="1" w:styleId="JuParaLast">
    <w:name w:val="Ju_Para_Last"/>
    <w:basedOn w:val="Normale"/>
    <w:next w:val="ECHRPara"/>
    <w:uiPriority w:val="30"/>
    <w:qFormat/>
    <w:rsid w:val="003D32DC"/>
    <w:pPr>
      <w:keepNext/>
      <w:keepLines/>
      <w:spacing w:before="240"/>
      <w:ind w:firstLine="284"/>
    </w:pPr>
  </w:style>
  <w:style w:type="paragraph" w:customStyle="1" w:styleId="JuCase">
    <w:name w:val="Ju_Case"/>
    <w:basedOn w:val="Normale"/>
    <w:next w:val="ECHRPara"/>
    <w:uiPriority w:val="10"/>
    <w:rsid w:val="003D32DC"/>
    <w:pPr>
      <w:ind w:firstLine="284"/>
    </w:pPr>
    <w:rPr>
      <w:b/>
    </w:rPr>
  </w:style>
  <w:style w:type="paragraph" w:customStyle="1" w:styleId="JuList">
    <w:name w:val="Ju_List"/>
    <w:basedOn w:val="Normale"/>
    <w:uiPriority w:val="28"/>
    <w:qFormat/>
    <w:rsid w:val="003D32DC"/>
    <w:pPr>
      <w:ind w:left="340" w:hanging="340"/>
    </w:pPr>
  </w:style>
  <w:style w:type="character" w:customStyle="1" w:styleId="JuITMark">
    <w:name w:val="Ju_ITMark"/>
    <w:basedOn w:val="Carpredefinitoparagrafo"/>
    <w:uiPriority w:val="38"/>
    <w:qFormat/>
    <w:rsid w:val="003D32DC"/>
    <w:rPr>
      <w:vanish w:val="0"/>
      <w:color w:val="auto"/>
      <w:sz w:val="14"/>
    </w:rPr>
  </w:style>
  <w:style w:type="character" w:styleId="Numeropagina">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3D32DC"/>
    <w:pPr>
      <w:ind w:left="346" w:firstLine="0"/>
    </w:pPr>
  </w:style>
  <w:style w:type="paragraph" w:customStyle="1" w:styleId="OpiTranslation">
    <w:name w:val="Opi_Translation"/>
    <w:basedOn w:val="Normale"/>
    <w:next w:val="OpiPara"/>
    <w:uiPriority w:val="40"/>
    <w:qFormat/>
    <w:rsid w:val="003D32DC"/>
    <w:pPr>
      <w:jc w:val="center"/>
      <w:outlineLvl w:val="0"/>
    </w:pPr>
    <w:rPr>
      <w:i/>
    </w:rPr>
  </w:style>
  <w:style w:type="character" w:styleId="Rimandocommento">
    <w:name w:val="annotation reference"/>
    <w:uiPriority w:val="99"/>
    <w:semiHidden/>
    <w:rsid w:val="00E77CB3"/>
    <w:rPr>
      <w:sz w:val="16"/>
    </w:rPr>
  </w:style>
  <w:style w:type="paragraph" w:styleId="Testocommento">
    <w:name w:val="annotation text"/>
    <w:basedOn w:val="Normale"/>
    <w:link w:val="TestocommentoCarattere"/>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uiPriority w:val="99"/>
    <w:semiHidden/>
    <w:rsid w:val="00E77CB3"/>
    <w:rPr>
      <w:rFonts w:ascii="Times New Roman" w:hAnsi="Times New Roman" w:cs="Times New Roman"/>
      <w:vertAlign w:val="superscript"/>
    </w:rPr>
  </w:style>
  <w:style w:type="paragraph" w:styleId="Testonotadichiusura">
    <w:name w:val="endnote text"/>
    <w:basedOn w:val="Normale"/>
    <w:link w:val="TestonotadichiusuraCarattere"/>
    <w:uiPriority w:val="99"/>
    <w:semiHidden/>
    <w:rsid w:val="00E77CB3"/>
    <w:rPr>
      <w:sz w:val="20"/>
    </w:rPr>
  </w:style>
  <w:style w:type="character" w:customStyle="1" w:styleId="TestonotadichiusuraCarattere">
    <w:name w:val="Testo nota di chiusura Carattere"/>
    <w:basedOn w:val="Carpredefinitoparagrafo"/>
    <w:link w:val="Testonotadichiusura"/>
    <w:uiPriority w:val="99"/>
    <w:semiHidden/>
    <w:rsid w:val="00E77CB3"/>
    <w:rPr>
      <w:rFonts w:eastAsiaTheme="minorEastAsia"/>
      <w:sz w:val="20"/>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DecHTitle">
    <w:name w:val="Dec_H_Title"/>
    <w:basedOn w:val="ECHRTitleCentre1"/>
    <w:uiPriority w:val="7"/>
    <w:rsid w:val="003D32DC"/>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paragraph" w:customStyle="1" w:styleId="JuCourt">
    <w:name w:val="Ju_Court"/>
    <w:basedOn w:val="Normale"/>
    <w:next w:val="Normale"/>
    <w:uiPriority w:val="16"/>
    <w:qFormat/>
    <w:rsid w:val="003D32DC"/>
    <w:pPr>
      <w:tabs>
        <w:tab w:val="left" w:pos="907"/>
        <w:tab w:val="left" w:pos="1701"/>
        <w:tab w:val="right" w:pos="7371"/>
      </w:tabs>
      <w:spacing w:before="240"/>
      <w:ind w:left="397" w:hanging="397"/>
      <w:jc w:val="left"/>
    </w:pPr>
    <w:rPr>
      <w:lang w:bidi="en-US"/>
    </w:rPr>
  </w:style>
  <w:style w:type="paragraph" w:styleId="Sottotitolo">
    <w:name w:val="Subtitle"/>
    <w:basedOn w:val="Normale"/>
    <w:next w:val="Normale"/>
    <w:link w:val="SottotitoloCarattere"/>
    <w:uiPriority w:val="99"/>
    <w:semiHidden/>
    <w:qFormat/>
    <w:rsid w:val="003D32DC"/>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3D32DC"/>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E77CB3"/>
    <w:rPr>
      <w:color w:val="808080"/>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E77CB3"/>
    <w:pPr>
      <w:spacing w:after="100"/>
      <w:ind w:left="1200"/>
    </w:pPr>
  </w:style>
  <w:style w:type="paragraph" w:styleId="Sommario7">
    <w:name w:val="toc 7"/>
    <w:basedOn w:val="Normale"/>
    <w:next w:val="Normale"/>
    <w:autoRedefine/>
    <w:uiPriority w:val="99"/>
    <w:semiHidden/>
    <w:rsid w:val="00E77CB3"/>
    <w:pPr>
      <w:spacing w:after="100"/>
      <w:ind w:left="1440"/>
    </w:p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DecList">
    <w:name w:val="Dec_List"/>
    <w:basedOn w:val="Normale"/>
    <w:uiPriority w:val="9"/>
    <w:rsid w:val="003D32DC"/>
    <w:pPr>
      <w:spacing w:before="240"/>
      <w:ind w:left="284"/>
    </w:pPr>
  </w:style>
  <w:style w:type="paragraph" w:customStyle="1" w:styleId="JuListi">
    <w:name w:val="Ju_List_i"/>
    <w:basedOn w:val="Normale"/>
    <w:next w:val="JuLista"/>
    <w:uiPriority w:val="28"/>
    <w:qFormat/>
    <w:rsid w:val="003D32DC"/>
    <w:pPr>
      <w:ind w:left="794"/>
    </w:pPr>
  </w:style>
  <w:style w:type="paragraph" w:customStyle="1" w:styleId="OpiH1">
    <w:name w:val="Opi_H_1"/>
    <w:basedOn w:val="ECHRHeading2"/>
    <w:uiPriority w:val="42"/>
    <w:qFormat/>
    <w:rsid w:val="003D32DC"/>
    <w:pPr>
      <w:ind w:left="635" w:hanging="357"/>
      <w:outlineLvl w:val="2"/>
    </w:pPr>
  </w:style>
  <w:style w:type="paragraph" w:customStyle="1" w:styleId="OpiHa0">
    <w:name w:val="Opi_H_a"/>
    <w:basedOn w:val="ECHRHeading3"/>
    <w:uiPriority w:val="43"/>
    <w:qFormat/>
    <w:rsid w:val="003D32DC"/>
    <w:pPr>
      <w:ind w:left="833" w:hanging="357"/>
      <w:outlineLvl w:val="3"/>
    </w:pPr>
    <w:rPr>
      <w:b/>
      <w:i w:val="0"/>
      <w:sz w:val="20"/>
    </w:rPr>
  </w:style>
  <w:style w:type="paragraph" w:customStyle="1" w:styleId="OpiHi">
    <w:name w:val="Opi_H_i"/>
    <w:basedOn w:val="ECHRHeading4"/>
    <w:uiPriority w:val="44"/>
    <w:qFormat/>
    <w:rsid w:val="003D32DC"/>
    <w:pPr>
      <w:ind w:left="1037" w:hanging="357"/>
      <w:outlineLvl w:val="4"/>
    </w:pPr>
    <w:rPr>
      <w:b w:val="0"/>
      <w:i/>
    </w:rPr>
  </w:style>
  <w:style w:type="paragraph" w:customStyle="1" w:styleId="DummyStyle">
    <w:name w:val="Dummy_Style"/>
    <w:basedOn w:val="Normale"/>
    <w:semiHidden/>
    <w:qFormat/>
    <w:rsid w:val="003D32DC"/>
    <w:rPr>
      <w:color w:val="00B050"/>
    </w:rPr>
  </w:style>
  <w:style w:type="character" w:customStyle="1" w:styleId="ECHRParaChar">
    <w:name w:val="ECHR_Para Char"/>
    <w:aliases w:val="Ju_Para Char"/>
    <w:link w:val="ECHRPara"/>
    <w:uiPriority w:val="12"/>
    <w:rsid w:val="00CB56E1"/>
    <w:rPr>
      <w:rFonts w:eastAsiaTheme="minorEastAsia"/>
      <w:sz w:val="24"/>
    </w:rPr>
  </w:style>
  <w:style w:type="paragraph" w:styleId="Revisione">
    <w:name w:val="Revision"/>
    <w:hidden/>
    <w:uiPriority w:val="99"/>
    <w:semiHidden/>
    <w:rsid w:val="00B21E1F"/>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8650">
      <w:bodyDiv w:val="1"/>
      <w:marLeft w:val="0"/>
      <w:marRight w:val="0"/>
      <w:marTop w:val="0"/>
      <w:marBottom w:val="0"/>
      <w:divBdr>
        <w:top w:val="none" w:sz="0" w:space="0" w:color="auto"/>
        <w:left w:val="none" w:sz="0" w:space="0" w:color="auto"/>
        <w:bottom w:val="none" w:sz="0" w:space="0" w:color="auto"/>
        <w:right w:val="none" w:sz="0" w:space="0" w:color="auto"/>
      </w:divBdr>
    </w:div>
    <w:div w:id="270552653">
      <w:bodyDiv w:val="1"/>
      <w:marLeft w:val="0"/>
      <w:marRight w:val="0"/>
      <w:marTop w:val="0"/>
      <w:marBottom w:val="0"/>
      <w:divBdr>
        <w:top w:val="none" w:sz="0" w:space="0" w:color="auto"/>
        <w:left w:val="none" w:sz="0" w:space="0" w:color="auto"/>
        <w:bottom w:val="none" w:sz="0" w:space="0" w:color="auto"/>
        <w:right w:val="none" w:sz="0" w:space="0" w:color="auto"/>
      </w:divBdr>
      <w:divsChild>
        <w:div w:id="2070372903">
          <w:marLeft w:val="0"/>
          <w:marRight w:val="0"/>
          <w:marTop w:val="0"/>
          <w:marBottom w:val="0"/>
          <w:divBdr>
            <w:top w:val="none" w:sz="0" w:space="0" w:color="auto"/>
            <w:left w:val="none" w:sz="0" w:space="0" w:color="auto"/>
            <w:bottom w:val="none" w:sz="0" w:space="0" w:color="auto"/>
            <w:right w:val="none" w:sz="0" w:space="0" w:color="auto"/>
          </w:divBdr>
          <w:divsChild>
            <w:div w:id="72048069">
              <w:marLeft w:val="0"/>
              <w:marRight w:val="0"/>
              <w:marTop w:val="0"/>
              <w:marBottom w:val="0"/>
              <w:divBdr>
                <w:top w:val="none" w:sz="0" w:space="0" w:color="auto"/>
                <w:left w:val="none" w:sz="0" w:space="0" w:color="auto"/>
                <w:bottom w:val="none" w:sz="0" w:space="0" w:color="auto"/>
                <w:right w:val="none" w:sz="0" w:space="0" w:color="auto"/>
              </w:divBdr>
              <w:divsChild>
                <w:div w:id="2367997">
                  <w:marLeft w:val="0"/>
                  <w:marRight w:val="0"/>
                  <w:marTop w:val="0"/>
                  <w:marBottom w:val="0"/>
                  <w:divBdr>
                    <w:top w:val="none" w:sz="0" w:space="0" w:color="auto"/>
                    <w:left w:val="none" w:sz="0" w:space="0" w:color="auto"/>
                    <w:bottom w:val="none" w:sz="0" w:space="0" w:color="auto"/>
                    <w:right w:val="none" w:sz="0" w:space="0" w:color="auto"/>
                  </w:divBdr>
                  <w:divsChild>
                    <w:div w:id="514273046">
                      <w:marLeft w:val="0"/>
                      <w:marRight w:val="0"/>
                      <w:marTop w:val="0"/>
                      <w:marBottom w:val="0"/>
                      <w:divBdr>
                        <w:top w:val="none" w:sz="0" w:space="0" w:color="auto"/>
                        <w:left w:val="none" w:sz="0" w:space="0" w:color="auto"/>
                        <w:bottom w:val="none" w:sz="0" w:space="0" w:color="auto"/>
                        <w:right w:val="none" w:sz="0" w:space="0" w:color="auto"/>
                      </w:divBdr>
                      <w:divsChild>
                        <w:div w:id="84040364">
                          <w:marLeft w:val="0"/>
                          <w:marRight w:val="0"/>
                          <w:marTop w:val="0"/>
                          <w:marBottom w:val="0"/>
                          <w:divBdr>
                            <w:top w:val="none" w:sz="0" w:space="0" w:color="auto"/>
                            <w:left w:val="none" w:sz="0" w:space="0" w:color="auto"/>
                            <w:bottom w:val="none" w:sz="0" w:space="0" w:color="auto"/>
                            <w:right w:val="none" w:sz="0" w:space="0" w:color="auto"/>
                          </w:divBdr>
                          <w:divsChild>
                            <w:div w:id="4305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294658">
      <w:bodyDiv w:val="1"/>
      <w:marLeft w:val="0"/>
      <w:marRight w:val="0"/>
      <w:marTop w:val="0"/>
      <w:marBottom w:val="0"/>
      <w:divBdr>
        <w:top w:val="none" w:sz="0" w:space="0" w:color="auto"/>
        <w:left w:val="none" w:sz="0" w:space="0" w:color="auto"/>
        <w:bottom w:val="none" w:sz="0" w:space="0" w:color="auto"/>
        <w:right w:val="none" w:sz="0" w:space="0" w:color="auto"/>
      </w:divBdr>
      <w:divsChild>
        <w:div w:id="787239338">
          <w:marLeft w:val="0"/>
          <w:marRight w:val="0"/>
          <w:marTop w:val="0"/>
          <w:marBottom w:val="0"/>
          <w:divBdr>
            <w:top w:val="none" w:sz="0" w:space="0" w:color="auto"/>
            <w:left w:val="none" w:sz="0" w:space="0" w:color="auto"/>
            <w:bottom w:val="none" w:sz="0" w:space="0" w:color="auto"/>
            <w:right w:val="none" w:sz="0" w:space="0" w:color="auto"/>
          </w:divBdr>
          <w:divsChild>
            <w:div w:id="543324363">
              <w:marLeft w:val="0"/>
              <w:marRight w:val="0"/>
              <w:marTop w:val="0"/>
              <w:marBottom w:val="0"/>
              <w:divBdr>
                <w:top w:val="none" w:sz="0" w:space="0" w:color="auto"/>
                <w:left w:val="none" w:sz="0" w:space="0" w:color="auto"/>
                <w:bottom w:val="none" w:sz="0" w:space="0" w:color="auto"/>
                <w:right w:val="none" w:sz="0" w:space="0" w:color="auto"/>
              </w:divBdr>
              <w:divsChild>
                <w:div w:id="1538664198">
                  <w:marLeft w:val="0"/>
                  <w:marRight w:val="0"/>
                  <w:marTop w:val="0"/>
                  <w:marBottom w:val="0"/>
                  <w:divBdr>
                    <w:top w:val="none" w:sz="0" w:space="0" w:color="auto"/>
                    <w:left w:val="none" w:sz="0" w:space="0" w:color="auto"/>
                    <w:bottom w:val="none" w:sz="0" w:space="0" w:color="auto"/>
                    <w:right w:val="none" w:sz="0" w:space="0" w:color="auto"/>
                  </w:divBdr>
                  <w:divsChild>
                    <w:div w:id="709303300">
                      <w:marLeft w:val="0"/>
                      <w:marRight w:val="0"/>
                      <w:marTop w:val="0"/>
                      <w:marBottom w:val="0"/>
                      <w:divBdr>
                        <w:top w:val="none" w:sz="0" w:space="0" w:color="auto"/>
                        <w:left w:val="none" w:sz="0" w:space="0" w:color="auto"/>
                        <w:bottom w:val="none" w:sz="0" w:space="0" w:color="auto"/>
                        <w:right w:val="none" w:sz="0" w:space="0" w:color="auto"/>
                      </w:divBdr>
                      <w:divsChild>
                        <w:div w:id="41293690">
                          <w:marLeft w:val="0"/>
                          <w:marRight w:val="0"/>
                          <w:marTop w:val="0"/>
                          <w:marBottom w:val="0"/>
                          <w:divBdr>
                            <w:top w:val="none" w:sz="0" w:space="0" w:color="auto"/>
                            <w:left w:val="none" w:sz="0" w:space="0" w:color="auto"/>
                            <w:bottom w:val="none" w:sz="0" w:space="0" w:color="auto"/>
                            <w:right w:val="none" w:sz="0" w:space="0" w:color="auto"/>
                          </w:divBdr>
                          <w:divsChild>
                            <w:div w:id="3635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866709">
      <w:bodyDiv w:val="1"/>
      <w:marLeft w:val="0"/>
      <w:marRight w:val="0"/>
      <w:marTop w:val="0"/>
      <w:marBottom w:val="0"/>
      <w:divBdr>
        <w:top w:val="none" w:sz="0" w:space="0" w:color="auto"/>
        <w:left w:val="none" w:sz="0" w:space="0" w:color="auto"/>
        <w:bottom w:val="none" w:sz="0" w:space="0" w:color="auto"/>
        <w:right w:val="none" w:sz="0" w:space="0" w:color="auto"/>
      </w:divBdr>
    </w:div>
    <w:div w:id="653146793">
      <w:bodyDiv w:val="1"/>
      <w:marLeft w:val="0"/>
      <w:marRight w:val="0"/>
      <w:marTop w:val="0"/>
      <w:marBottom w:val="0"/>
      <w:divBdr>
        <w:top w:val="none" w:sz="0" w:space="0" w:color="auto"/>
        <w:left w:val="none" w:sz="0" w:space="0" w:color="auto"/>
        <w:bottom w:val="none" w:sz="0" w:space="0" w:color="auto"/>
        <w:right w:val="none" w:sz="0" w:space="0" w:color="auto"/>
      </w:divBdr>
      <w:divsChild>
        <w:div w:id="1177772116">
          <w:marLeft w:val="0"/>
          <w:marRight w:val="0"/>
          <w:marTop w:val="0"/>
          <w:marBottom w:val="0"/>
          <w:divBdr>
            <w:top w:val="none" w:sz="0" w:space="0" w:color="auto"/>
            <w:left w:val="none" w:sz="0" w:space="0" w:color="auto"/>
            <w:bottom w:val="none" w:sz="0" w:space="0" w:color="auto"/>
            <w:right w:val="none" w:sz="0" w:space="0" w:color="auto"/>
          </w:divBdr>
          <w:divsChild>
            <w:div w:id="1517187912">
              <w:marLeft w:val="0"/>
              <w:marRight w:val="0"/>
              <w:marTop w:val="0"/>
              <w:marBottom w:val="0"/>
              <w:divBdr>
                <w:top w:val="none" w:sz="0" w:space="0" w:color="auto"/>
                <w:left w:val="none" w:sz="0" w:space="0" w:color="auto"/>
                <w:bottom w:val="none" w:sz="0" w:space="0" w:color="auto"/>
                <w:right w:val="none" w:sz="0" w:space="0" w:color="auto"/>
              </w:divBdr>
              <w:divsChild>
                <w:div w:id="1163856402">
                  <w:marLeft w:val="0"/>
                  <w:marRight w:val="0"/>
                  <w:marTop w:val="0"/>
                  <w:marBottom w:val="0"/>
                  <w:divBdr>
                    <w:top w:val="none" w:sz="0" w:space="0" w:color="auto"/>
                    <w:left w:val="none" w:sz="0" w:space="0" w:color="auto"/>
                    <w:bottom w:val="none" w:sz="0" w:space="0" w:color="auto"/>
                    <w:right w:val="none" w:sz="0" w:space="0" w:color="auto"/>
                  </w:divBdr>
                  <w:divsChild>
                    <w:div w:id="1150486854">
                      <w:marLeft w:val="0"/>
                      <w:marRight w:val="0"/>
                      <w:marTop w:val="0"/>
                      <w:marBottom w:val="0"/>
                      <w:divBdr>
                        <w:top w:val="none" w:sz="0" w:space="0" w:color="auto"/>
                        <w:left w:val="none" w:sz="0" w:space="0" w:color="auto"/>
                        <w:bottom w:val="none" w:sz="0" w:space="0" w:color="auto"/>
                        <w:right w:val="none" w:sz="0" w:space="0" w:color="auto"/>
                      </w:divBdr>
                      <w:divsChild>
                        <w:div w:id="1255016280">
                          <w:marLeft w:val="0"/>
                          <w:marRight w:val="0"/>
                          <w:marTop w:val="0"/>
                          <w:marBottom w:val="0"/>
                          <w:divBdr>
                            <w:top w:val="none" w:sz="0" w:space="0" w:color="auto"/>
                            <w:left w:val="none" w:sz="0" w:space="0" w:color="auto"/>
                            <w:bottom w:val="none" w:sz="0" w:space="0" w:color="auto"/>
                            <w:right w:val="none" w:sz="0" w:space="0" w:color="auto"/>
                          </w:divBdr>
                          <w:divsChild>
                            <w:div w:id="8792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940144">
      <w:bodyDiv w:val="1"/>
      <w:marLeft w:val="0"/>
      <w:marRight w:val="0"/>
      <w:marTop w:val="0"/>
      <w:marBottom w:val="0"/>
      <w:divBdr>
        <w:top w:val="none" w:sz="0" w:space="0" w:color="auto"/>
        <w:left w:val="none" w:sz="0" w:space="0" w:color="auto"/>
        <w:bottom w:val="none" w:sz="0" w:space="0" w:color="auto"/>
        <w:right w:val="none" w:sz="0" w:space="0" w:color="auto"/>
      </w:divBdr>
      <w:divsChild>
        <w:div w:id="903956780">
          <w:marLeft w:val="0"/>
          <w:marRight w:val="0"/>
          <w:marTop w:val="0"/>
          <w:marBottom w:val="0"/>
          <w:divBdr>
            <w:top w:val="none" w:sz="0" w:space="0" w:color="auto"/>
            <w:left w:val="none" w:sz="0" w:space="0" w:color="auto"/>
            <w:bottom w:val="none" w:sz="0" w:space="0" w:color="auto"/>
            <w:right w:val="none" w:sz="0" w:space="0" w:color="auto"/>
          </w:divBdr>
          <w:divsChild>
            <w:div w:id="1300111694">
              <w:marLeft w:val="0"/>
              <w:marRight w:val="0"/>
              <w:marTop w:val="0"/>
              <w:marBottom w:val="0"/>
              <w:divBdr>
                <w:top w:val="none" w:sz="0" w:space="0" w:color="auto"/>
                <w:left w:val="none" w:sz="0" w:space="0" w:color="auto"/>
                <w:bottom w:val="none" w:sz="0" w:space="0" w:color="auto"/>
                <w:right w:val="none" w:sz="0" w:space="0" w:color="auto"/>
              </w:divBdr>
              <w:divsChild>
                <w:div w:id="815992515">
                  <w:marLeft w:val="0"/>
                  <w:marRight w:val="0"/>
                  <w:marTop w:val="0"/>
                  <w:marBottom w:val="0"/>
                  <w:divBdr>
                    <w:top w:val="none" w:sz="0" w:space="0" w:color="auto"/>
                    <w:left w:val="none" w:sz="0" w:space="0" w:color="auto"/>
                    <w:bottom w:val="none" w:sz="0" w:space="0" w:color="auto"/>
                    <w:right w:val="none" w:sz="0" w:space="0" w:color="auto"/>
                  </w:divBdr>
                  <w:divsChild>
                    <w:div w:id="1035931647">
                      <w:marLeft w:val="0"/>
                      <w:marRight w:val="0"/>
                      <w:marTop w:val="0"/>
                      <w:marBottom w:val="0"/>
                      <w:divBdr>
                        <w:top w:val="none" w:sz="0" w:space="0" w:color="auto"/>
                        <w:left w:val="none" w:sz="0" w:space="0" w:color="auto"/>
                        <w:bottom w:val="none" w:sz="0" w:space="0" w:color="auto"/>
                        <w:right w:val="none" w:sz="0" w:space="0" w:color="auto"/>
                      </w:divBdr>
                      <w:divsChild>
                        <w:div w:id="100299405">
                          <w:marLeft w:val="0"/>
                          <w:marRight w:val="0"/>
                          <w:marTop w:val="0"/>
                          <w:marBottom w:val="0"/>
                          <w:divBdr>
                            <w:top w:val="none" w:sz="0" w:space="0" w:color="auto"/>
                            <w:left w:val="none" w:sz="0" w:space="0" w:color="auto"/>
                            <w:bottom w:val="none" w:sz="0" w:space="0" w:color="auto"/>
                            <w:right w:val="none" w:sz="0" w:space="0" w:color="auto"/>
                          </w:divBdr>
                          <w:divsChild>
                            <w:div w:id="16532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864103">
      <w:bodyDiv w:val="1"/>
      <w:marLeft w:val="0"/>
      <w:marRight w:val="0"/>
      <w:marTop w:val="0"/>
      <w:marBottom w:val="0"/>
      <w:divBdr>
        <w:top w:val="none" w:sz="0" w:space="0" w:color="auto"/>
        <w:left w:val="none" w:sz="0" w:space="0" w:color="auto"/>
        <w:bottom w:val="none" w:sz="0" w:space="0" w:color="auto"/>
        <w:right w:val="none" w:sz="0" w:space="0" w:color="auto"/>
      </w:divBdr>
      <w:divsChild>
        <w:div w:id="89468903">
          <w:marLeft w:val="0"/>
          <w:marRight w:val="0"/>
          <w:marTop w:val="0"/>
          <w:marBottom w:val="0"/>
          <w:divBdr>
            <w:top w:val="none" w:sz="0" w:space="0" w:color="auto"/>
            <w:left w:val="none" w:sz="0" w:space="0" w:color="auto"/>
            <w:bottom w:val="none" w:sz="0" w:space="0" w:color="auto"/>
            <w:right w:val="none" w:sz="0" w:space="0" w:color="auto"/>
          </w:divBdr>
          <w:divsChild>
            <w:div w:id="39208431">
              <w:marLeft w:val="0"/>
              <w:marRight w:val="0"/>
              <w:marTop w:val="0"/>
              <w:marBottom w:val="0"/>
              <w:divBdr>
                <w:top w:val="none" w:sz="0" w:space="0" w:color="auto"/>
                <w:left w:val="none" w:sz="0" w:space="0" w:color="auto"/>
                <w:bottom w:val="none" w:sz="0" w:space="0" w:color="auto"/>
                <w:right w:val="none" w:sz="0" w:space="0" w:color="auto"/>
              </w:divBdr>
              <w:divsChild>
                <w:div w:id="2091733388">
                  <w:marLeft w:val="0"/>
                  <w:marRight w:val="0"/>
                  <w:marTop w:val="0"/>
                  <w:marBottom w:val="0"/>
                  <w:divBdr>
                    <w:top w:val="none" w:sz="0" w:space="0" w:color="auto"/>
                    <w:left w:val="none" w:sz="0" w:space="0" w:color="auto"/>
                    <w:bottom w:val="none" w:sz="0" w:space="0" w:color="auto"/>
                    <w:right w:val="none" w:sz="0" w:space="0" w:color="auto"/>
                  </w:divBdr>
                  <w:divsChild>
                    <w:div w:id="526990864">
                      <w:marLeft w:val="0"/>
                      <w:marRight w:val="0"/>
                      <w:marTop w:val="0"/>
                      <w:marBottom w:val="0"/>
                      <w:divBdr>
                        <w:top w:val="none" w:sz="0" w:space="0" w:color="auto"/>
                        <w:left w:val="none" w:sz="0" w:space="0" w:color="auto"/>
                        <w:bottom w:val="none" w:sz="0" w:space="0" w:color="auto"/>
                        <w:right w:val="none" w:sz="0" w:space="0" w:color="auto"/>
                      </w:divBdr>
                      <w:divsChild>
                        <w:div w:id="1759982666">
                          <w:marLeft w:val="0"/>
                          <w:marRight w:val="0"/>
                          <w:marTop w:val="0"/>
                          <w:marBottom w:val="0"/>
                          <w:divBdr>
                            <w:top w:val="none" w:sz="0" w:space="0" w:color="auto"/>
                            <w:left w:val="none" w:sz="0" w:space="0" w:color="auto"/>
                            <w:bottom w:val="none" w:sz="0" w:space="0" w:color="auto"/>
                            <w:right w:val="none" w:sz="0" w:space="0" w:color="auto"/>
                          </w:divBdr>
                          <w:divsChild>
                            <w:div w:id="16676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567979">
      <w:bodyDiv w:val="1"/>
      <w:marLeft w:val="0"/>
      <w:marRight w:val="0"/>
      <w:marTop w:val="0"/>
      <w:marBottom w:val="0"/>
      <w:divBdr>
        <w:top w:val="none" w:sz="0" w:space="0" w:color="auto"/>
        <w:left w:val="none" w:sz="0" w:space="0" w:color="auto"/>
        <w:bottom w:val="none" w:sz="0" w:space="0" w:color="auto"/>
        <w:right w:val="none" w:sz="0" w:space="0" w:color="auto"/>
      </w:divBdr>
      <w:divsChild>
        <w:div w:id="771782746">
          <w:marLeft w:val="0"/>
          <w:marRight w:val="0"/>
          <w:marTop w:val="0"/>
          <w:marBottom w:val="0"/>
          <w:divBdr>
            <w:top w:val="none" w:sz="0" w:space="0" w:color="auto"/>
            <w:left w:val="none" w:sz="0" w:space="0" w:color="auto"/>
            <w:bottom w:val="none" w:sz="0" w:space="0" w:color="auto"/>
            <w:right w:val="none" w:sz="0" w:space="0" w:color="auto"/>
          </w:divBdr>
          <w:divsChild>
            <w:div w:id="1028215688">
              <w:marLeft w:val="0"/>
              <w:marRight w:val="0"/>
              <w:marTop w:val="0"/>
              <w:marBottom w:val="0"/>
              <w:divBdr>
                <w:top w:val="none" w:sz="0" w:space="0" w:color="auto"/>
                <w:left w:val="none" w:sz="0" w:space="0" w:color="auto"/>
                <w:bottom w:val="none" w:sz="0" w:space="0" w:color="auto"/>
                <w:right w:val="none" w:sz="0" w:space="0" w:color="auto"/>
              </w:divBdr>
              <w:divsChild>
                <w:div w:id="335421297">
                  <w:marLeft w:val="0"/>
                  <w:marRight w:val="0"/>
                  <w:marTop w:val="0"/>
                  <w:marBottom w:val="0"/>
                  <w:divBdr>
                    <w:top w:val="none" w:sz="0" w:space="0" w:color="auto"/>
                    <w:left w:val="none" w:sz="0" w:space="0" w:color="auto"/>
                    <w:bottom w:val="none" w:sz="0" w:space="0" w:color="auto"/>
                    <w:right w:val="none" w:sz="0" w:space="0" w:color="auto"/>
                  </w:divBdr>
                  <w:divsChild>
                    <w:div w:id="1190799520">
                      <w:marLeft w:val="0"/>
                      <w:marRight w:val="0"/>
                      <w:marTop w:val="0"/>
                      <w:marBottom w:val="0"/>
                      <w:divBdr>
                        <w:top w:val="none" w:sz="0" w:space="0" w:color="auto"/>
                        <w:left w:val="none" w:sz="0" w:space="0" w:color="auto"/>
                        <w:bottom w:val="none" w:sz="0" w:space="0" w:color="auto"/>
                        <w:right w:val="none" w:sz="0" w:space="0" w:color="auto"/>
                      </w:divBdr>
                      <w:divsChild>
                        <w:div w:id="428086669">
                          <w:marLeft w:val="0"/>
                          <w:marRight w:val="0"/>
                          <w:marTop w:val="0"/>
                          <w:marBottom w:val="0"/>
                          <w:divBdr>
                            <w:top w:val="none" w:sz="0" w:space="0" w:color="auto"/>
                            <w:left w:val="none" w:sz="0" w:space="0" w:color="auto"/>
                            <w:bottom w:val="none" w:sz="0" w:space="0" w:color="auto"/>
                            <w:right w:val="none" w:sz="0" w:space="0" w:color="auto"/>
                          </w:divBdr>
                          <w:divsChild>
                            <w:div w:id="11992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479178">
      <w:bodyDiv w:val="1"/>
      <w:marLeft w:val="0"/>
      <w:marRight w:val="0"/>
      <w:marTop w:val="0"/>
      <w:marBottom w:val="0"/>
      <w:divBdr>
        <w:top w:val="none" w:sz="0" w:space="0" w:color="auto"/>
        <w:left w:val="none" w:sz="0" w:space="0" w:color="auto"/>
        <w:bottom w:val="none" w:sz="0" w:space="0" w:color="auto"/>
        <w:right w:val="none" w:sz="0" w:space="0" w:color="auto"/>
      </w:divBdr>
      <w:divsChild>
        <w:div w:id="22367116">
          <w:marLeft w:val="0"/>
          <w:marRight w:val="0"/>
          <w:marTop w:val="0"/>
          <w:marBottom w:val="0"/>
          <w:divBdr>
            <w:top w:val="none" w:sz="0" w:space="0" w:color="auto"/>
            <w:left w:val="none" w:sz="0" w:space="0" w:color="auto"/>
            <w:bottom w:val="none" w:sz="0" w:space="0" w:color="auto"/>
            <w:right w:val="none" w:sz="0" w:space="0" w:color="auto"/>
          </w:divBdr>
          <w:divsChild>
            <w:div w:id="1985237268">
              <w:marLeft w:val="0"/>
              <w:marRight w:val="0"/>
              <w:marTop w:val="0"/>
              <w:marBottom w:val="0"/>
              <w:divBdr>
                <w:top w:val="none" w:sz="0" w:space="0" w:color="auto"/>
                <w:left w:val="none" w:sz="0" w:space="0" w:color="auto"/>
                <w:bottom w:val="none" w:sz="0" w:space="0" w:color="auto"/>
                <w:right w:val="none" w:sz="0" w:space="0" w:color="auto"/>
              </w:divBdr>
              <w:divsChild>
                <w:div w:id="2134980668">
                  <w:marLeft w:val="0"/>
                  <w:marRight w:val="0"/>
                  <w:marTop w:val="0"/>
                  <w:marBottom w:val="0"/>
                  <w:divBdr>
                    <w:top w:val="none" w:sz="0" w:space="0" w:color="auto"/>
                    <w:left w:val="none" w:sz="0" w:space="0" w:color="auto"/>
                    <w:bottom w:val="none" w:sz="0" w:space="0" w:color="auto"/>
                    <w:right w:val="none" w:sz="0" w:space="0" w:color="auto"/>
                  </w:divBdr>
                  <w:divsChild>
                    <w:div w:id="957569274">
                      <w:marLeft w:val="0"/>
                      <w:marRight w:val="0"/>
                      <w:marTop w:val="0"/>
                      <w:marBottom w:val="0"/>
                      <w:divBdr>
                        <w:top w:val="none" w:sz="0" w:space="0" w:color="auto"/>
                        <w:left w:val="none" w:sz="0" w:space="0" w:color="auto"/>
                        <w:bottom w:val="none" w:sz="0" w:space="0" w:color="auto"/>
                        <w:right w:val="none" w:sz="0" w:space="0" w:color="auto"/>
                      </w:divBdr>
                      <w:divsChild>
                        <w:div w:id="95250781">
                          <w:marLeft w:val="0"/>
                          <w:marRight w:val="0"/>
                          <w:marTop w:val="0"/>
                          <w:marBottom w:val="0"/>
                          <w:divBdr>
                            <w:top w:val="none" w:sz="0" w:space="0" w:color="auto"/>
                            <w:left w:val="none" w:sz="0" w:space="0" w:color="auto"/>
                            <w:bottom w:val="none" w:sz="0" w:space="0" w:color="auto"/>
                            <w:right w:val="none" w:sz="0" w:space="0" w:color="auto"/>
                          </w:divBdr>
                          <w:divsChild>
                            <w:div w:id="10313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801416158">
      <w:bodyDiv w:val="1"/>
      <w:marLeft w:val="0"/>
      <w:marRight w:val="0"/>
      <w:marTop w:val="0"/>
      <w:marBottom w:val="0"/>
      <w:divBdr>
        <w:top w:val="none" w:sz="0" w:space="0" w:color="auto"/>
        <w:left w:val="none" w:sz="0" w:space="0" w:color="auto"/>
        <w:bottom w:val="none" w:sz="0" w:space="0" w:color="auto"/>
        <w:right w:val="none" w:sz="0" w:space="0" w:color="auto"/>
      </w:divBdr>
    </w:div>
    <w:div w:id="1900287214">
      <w:bodyDiv w:val="1"/>
      <w:marLeft w:val="0"/>
      <w:marRight w:val="0"/>
      <w:marTop w:val="0"/>
      <w:marBottom w:val="0"/>
      <w:divBdr>
        <w:top w:val="none" w:sz="0" w:space="0" w:color="auto"/>
        <w:left w:val="none" w:sz="0" w:space="0" w:color="auto"/>
        <w:bottom w:val="none" w:sz="0" w:space="0" w:color="auto"/>
        <w:right w:val="none" w:sz="0" w:space="0" w:color="auto"/>
      </w:divBdr>
      <w:divsChild>
        <w:div w:id="991788461">
          <w:marLeft w:val="0"/>
          <w:marRight w:val="0"/>
          <w:marTop w:val="0"/>
          <w:marBottom w:val="0"/>
          <w:divBdr>
            <w:top w:val="none" w:sz="0" w:space="0" w:color="auto"/>
            <w:left w:val="none" w:sz="0" w:space="0" w:color="auto"/>
            <w:bottom w:val="none" w:sz="0" w:space="0" w:color="auto"/>
            <w:right w:val="none" w:sz="0" w:space="0" w:color="auto"/>
          </w:divBdr>
          <w:divsChild>
            <w:div w:id="1548907293">
              <w:marLeft w:val="0"/>
              <w:marRight w:val="0"/>
              <w:marTop w:val="0"/>
              <w:marBottom w:val="0"/>
              <w:divBdr>
                <w:top w:val="none" w:sz="0" w:space="0" w:color="auto"/>
                <w:left w:val="none" w:sz="0" w:space="0" w:color="auto"/>
                <w:bottom w:val="none" w:sz="0" w:space="0" w:color="auto"/>
                <w:right w:val="none" w:sz="0" w:space="0" w:color="auto"/>
              </w:divBdr>
              <w:divsChild>
                <w:div w:id="1704285529">
                  <w:marLeft w:val="0"/>
                  <w:marRight w:val="0"/>
                  <w:marTop w:val="0"/>
                  <w:marBottom w:val="0"/>
                  <w:divBdr>
                    <w:top w:val="none" w:sz="0" w:space="0" w:color="auto"/>
                    <w:left w:val="none" w:sz="0" w:space="0" w:color="auto"/>
                    <w:bottom w:val="none" w:sz="0" w:space="0" w:color="auto"/>
                    <w:right w:val="none" w:sz="0" w:space="0" w:color="auto"/>
                  </w:divBdr>
                  <w:divsChild>
                    <w:div w:id="1602227737">
                      <w:marLeft w:val="0"/>
                      <w:marRight w:val="0"/>
                      <w:marTop w:val="0"/>
                      <w:marBottom w:val="0"/>
                      <w:divBdr>
                        <w:top w:val="none" w:sz="0" w:space="0" w:color="auto"/>
                        <w:left w:val="none" w:sz="0" w:space="0" w:color="auto"/>
                        <w:bottom w:val="none" w:sz="0" w:space="0" w:color="auto"/>
                        <w:right w:val="none" w:sz="0" w:space="0" w:color="auto"/>
                      </w:divBdr>
                      <w:divsChild>
                        <w:div w:id="79838084">
                          <w:marLeft w:val="0"/>
                          <w:marRight w:val="0"/>
                          <w:marTop w:val="0"/>
                          <w:marBottom w:val="0"/>
                          <w:divBdr>
                            <w:top w:val="none" w:sz="0" w:space="0" w:color="auto"/>
                            <w:left w:val="none" w:sz="0" w:space="0" w:color="auto"/>
                            <w:bottom w:val="none" w:sz="0" w:space="0" w:color="auto"/>
                            <w:right w:val="none" w:sz="0" w:space="0" w:color="auto"/>
                          </w:divBdr>
                          <w:divsChild>
                            <w:div w:id="97356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hudoc.echr.coe.int/eng"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hudoc.echr.coe.int/eng"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hudoc.echr.coe.int/en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hudoc.echr.coe.int/sites/fra/Pages/search.aspx" TargetMode="External"/><Relationship Id="rId20" Type="http://schemas.openxmlformats.org/officeDocument/2006/relationships/hyperlink" Target="http://hudoc.echr.coe.int/e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hudoc.echr.coe.int/eng" TargetMode="External"/><Relationship Id="rId5" Type="http://schemas.openxmlformats.org/officeDocument/2006/relationships/numbering" Target="numbering.xml"/><Relationship Id="rId15" Type="http://schemas.openxmlformats.org/officeDocument/2006/relationships/hyperlink" Target="http://hudoc.echr.coe.int/sites/fra/Pages/search.aspx" TargetMode="External"/><Relationship Id="rId23" Type="http://schemas.openxmlformats.org/officeDocument/2006/relationships/hyperlink" Target="http://hudoc.echr.coe.int/en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hudoc.echr.coe.int/e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udoc.echr.coe.int/sites/fra/Pages/search.aspx" TargetMode="External"/><Relationship Id="rId22" Type="http://schemas.openxmlformats.org/officeDocument/2006/relationships/hyperlink" Target="http://hudoc.echr.coe.int/en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FCD65-0A31-4514-B0A2-F7DD2E94F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D125DB2-9233-4BA6-8CA9-8C7A5C76AE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6A7012-1F86-4C58-9819-6E17451DEF8E}">
  <ds:schemaRefs>
    <ds:schemaRef ds:uri="http://schemas.microsoft.com/sharepoint/v3/contenttype/forms"/>
  </ds:schemaRefs>
</ds:datastoreItem>
</file>

<file path=customXml/itemProps4.xml><?xml version="1.0" encoding="utf-8"?>
<ds:datastoreItem xmlns:ds="http://schemas.openxmlformats.org/officeDocument/2006/customXml" ds:itemID="{B03D73B2-1E40-43F0-AB58-04F0E7F04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9028</Words>
  <Characters>51466</Characters>
  <Application>Microsoft Office Word</Application>
  <DocSecurity>0</DocSecurity>
  <Lines>428</Lines>
  <Paragraphs>120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60374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2016-06-27T08:17:00Z</dcterms:created>
  <dcterms:modified xsi:type="dcterms:W3CDTF">2016-06-27T08:17:00Z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